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95" w:rsidRPr="008A5195" w:rsidRDefault="008A5195" w:rsidP="008A519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Feedback from the </w:t>
      </w:r>
      <w:proofErr w:type="spellStart"/>
      <w:r>
        <w:rPr>
          <w:sz w:val="24"/>
          <w:szCs w:val="24"/>
          <w:u w:val="single"/>
        </w:rPr>
        <w:t>Brustein</w:t>
      </w:r>
      <w:proofErr w:type="spellEnd"/>
      <w:r>
        <w:rPr>
          <w:sz w:val="24"/>
          <w:szCs w:val="24"/>
          <w:u w:val="single"/>
        </w:rPr>
        <w:t xml:space="preserve"> and </w:t>
      </w:r>
      <w:proofErr w:type="spellStart"/>
      <w:r>
        <w:rPr>
          <w:sz w:val="24"/>
          <w:szCs w:val="24"/>
          <w:u w:val="single"/>
        </w:rPr>
        <w:t>Manasevit</w:t>
      </w:r>
      <w:proofErr w:type="spellEnd"/>
      <w:r>
        <w:rPr>
          <w:sz w:val="24"/>
          <w:szCs w:val="24"/>
          <w:u w:val="single"/>
        </w:rPr>
        <w:t xml:space="preserve"> Spring Forum</w:t>
      </w:r>
      <w:r w:rsidR="008A1507">
        <w:rPr>
          <w:sz w:val="24"/>
          <w:szCs w:val="24"/>
          <w:u w:val="single"/>
        </w:rPr>
        <w:t xml:space="preserve"> – May 2014</w:t>
      </w:r>
    </w:p>
    <w:p w:rsidR="008A5195" w:rsidRDefault="008A5195" w:rsidP="00E01061">
      <w:pPr>
        <w:rPr>
          <w:u w:val="single"/>
        </w:rPr>
      </w:pPr>
    </w:p>
    <w:p w:rsidR="00E01061" w:rsidRPr="00034B6F" w:rsidRDefault="00034B6F" w:rsidP="00E01061">
      <w:pPr>
        <w:rPr>
          <w:b/>
          <w:u w:val="single"/>
        </w:rPr>
      </w:pPr>
      <w:r>
        <w:rPr>
          <w:b/>
          <w:u w:val="single"/>
        </w:rPr>
        <w:t xml:space="preserve">Seven </w:t>
      </w:r>
      <w:r w:rsidR="00E01061" w:rsidRPr="00034B6F">
        <w:rPr>
          <w:b/>
          <w:u w:val="single"/>
        </w:rPr>
        <w:t>Key Areas of Omni Circular</w:t>
      </w:r>
    </w:p>
    <w:p w:rsidR="00262A1F" w:rsidRDefault="00262A1F" w:rsidP="00E01061">
      <w:r>
        <w:t xml:space="preserve">The impetus for the new circular was a 2009 EO to reduce improper payments and a 2011 memo to reduce administrative burden.  In general, the </w:t>
      </w:r>
      <w:proofErr w:type="spellStart"/>
      <w:r w:rsidR="00B17690">
        <w:t>omni</w:t>
      </w:r>
      <w:proofErr w:type="spellEnd"/>
      <w:r>
        <w:t xml:space="preserve"> circular stresses internal controls and performance reporting </w:t>
      </w:r>
      <w:r w:rsidRPr="00B17690">
        <w:rPr>
          <w:u w:val="single"/>
        </w:rPr>
        <w:t>in addition to</w:t>
      </w:r>
      <w:r>
        <w:t xml:space="preserve"> financial reporting.  In the </w:t>
      </w:r>
      <w:proofErr w:type="spellStart"/>
      <w:r w:rsidR="00B17690">
        <w:t>omni</w:t>
      </w:r>
      <w:proofErr w:type="spellEnd"/>
      <w:r>
        <w:t>, “should” = best practices or recommended and “must” = required.</w:t>
      </w:r>
    </w:p>
    <w:p w:rsidR="00034B6F" w:rsidRDefault="00034B6F" w:rsidP="00E01061">
      <w:pPr>
        <w:rPr>
          <w:u w:val="single"/>
        </w:rPr>
      </w:pPr>
    </w:p>
    <w:p w:rsidR="00F37F0B" w:rsidRDefault="00F37F0B" w:rsidP="00E01061">
      <w:r w:rsidRPr="00F37F0B">
        <w:rPr>
          <w:u w:val="single"/>
        </w:rPr>
        <w:t>Timeline</w:t>
      </w:r>
      <w:r>
        <w:t xml:space="preserve">:  Omni circular published in Federal Register June 26, 2014.  Digested until Dec. 26, 2014 when it’s expected there will be the new EDGAR and federal register for each agency.  </w:t>
      </w:r>
      <w:proofErr w:type="gramStart"/>
      <w:r>
        <w:t>In place July 1, 2015.</w:t>
      </w:r>
      <w:proofErr w:type="gramEnd"/>
      <w:r>
        <w:t xml:space="preserve">  </w:t>
      </w:r>
    </w:p>
    <w:p w:rsidR="00262A1F" w:rsidRPr="00262A1F" w:rsidRDefault="00262A1F" w:rsidP="00E01061"/>
    <w:p w:rsidR="00E01061" w:rsidRPr="00BC1308" w:rsidRDefault="00E01061" w:rsidP="00E01061">
      <w:pPr>
        <w:pStyle w:val="ListParagraph"/>
        <w:numPr>
          <w:ilvl w:val="0"/>
          <w:numId w:val="2"/>
        </w:numPr>
        <w:rPr>
          <w:u w:val="single"/>
        </w:rPr>
      </w:pPr>
      <w:r w:rsidRPr="00994848">
        <w:rPr>
          <w:b/>
        </w:rPr>
        <w:t>Time and Effort</w:t>
      </w:r>
      <w:r w:rsidR="00BC1308">
        <w:t xml:space="preserve"> – sec. 200.430(</w:t>
      </w:r>
      <w:proofErr w:type="spellStart"/>
      <w:r w:rsidR="00BC1308">
        <w:t>i</w:t>
      </w:r>
      <w:proofErr w:type="spellEnd"/>
      <w:r w:rsidR="00BC1308">
        <w:t>) Standards for Documentation of Personnel Expenses</w:t>
      </w:r>
    </w:p>
    <w:p w:rsidR="00BC1308" w:rsidRDefault="00BC1308" w:rsidP="00BC1308">
      <w:pPr>
        <w:pStyle w:val="ListParagraph"/>
        <w:numPr>
          <w:ilvl w:val="0"/>
          <w:numId w:val="9"/>
        </w:numPr>
      </w:pPr>
      <w:r>
        <w:t xml:space="preserve">Certification time period not specified </w:t>
      </w:r>
    </w:p>
    <w:p w:rsidR="00BC1308" w:rsidRPr="007B7917" w:rsidRDefault="00BC1308" w:rsidP="00BC1308">
      <w:pPr>
        <w:pStyle w:val="ListParagraph"/>
        <w:numPr>
          <w:ilvl w:val="0"/>
          <w:numId w:val="9"/>
        </w:numPr>
        <w:rPr>
          <w:u w:val="single"/>
        </w:rPr>
      </w:pPr>
      <w:r>
        <w:t>Must be supported by internal controls that provide reasonable assurance charges are accurate</w:t>
      </w:r>
    </w:p>
    <w:p w:rsidR="007B7917" w:rsidRPr="00BC1308" w:rsidRDefault="007B7917" w:rsidP="00BC1308">
      <w:pPr>
        <w:pStyle w:val="ListParagraph"/>
        <w:numPr>
          <w:ilvl w:val="0"/>
          <w:numId w:val="9"/>
        </w:numPr>
        <w:rPr>
          <w:u w:val="single"/>
        </w:rPr>
      </w:pPr>
      <w:r>
        <w:t>Keep doing what you’ve been doing</w:t>
      </w:r>
    </w:p>
    <w:p w:rsidR="00BC1308" w:rsidRPr="00BC1308" w:rsidRDefault="00BC1308" w:rsidP="00BC1308">
      <w:pPr>
        <w:pStyle w:val="ListParagraph"/>
        <w:numPr>
          <w:ilvl w:val="0"/>
          <w:numId w:val="9"/>
        </w:numPr>
        <w:rPr>
          <w:u w:val="single"/>
        </w:rPr>
      </w:pPr>
      <w:r>
        <w:t>Will need to see how EDGAR defines these (recurring theme)</w:t>
      </w:r>
    </w:p>
    <w:p w:rsidR="00E01061" w:rsidRPr="00E01061" w:rsidRDefault="00E01061" w:rsidP="00E01061">
      <w:pPr>
        <w:ind w:left="360"/>
        <w:rPr>
          <w:u w:val="single"/>
        </w:rPr>
      </w:pPr>
    </w:p>
    <w:p w:rsidR="00E01061" w:rsidRPr="00E01061" w:rsidRDefault="00E01061" w:rsidP="00E01061">
      <w:pPr>
        <w:pStyle w:val="ListParagraph"/>
        <w:numPr>
          <w:ilvl w:val="0"/>
          <w:numId w:val="2"/>
        </w:numPr>
        <w:rPr>
          <w:u w:val="single"/>
        </w:rPr>
      </w:pPr>
      <w:r w:rsidRPr="00994848">
        <w:rPr>
          <w:b/>
        </w:rPr>
        <w:t>Procurement and Property Management</w:t>
      </w:r>
      <w:r w:rsidR="00994848">
        <w:t xml:space="preserve"> for </w:t>
      </w:r>
      <w:r w:rsidR="00034B6F" w:rsidRPr="00034B6F">
        <w:rPr>
          <w:u w:val="single"/>
        </w:rPr>
        <w:t>All</w:t>
      </w:r>
      <w:r w:rsidR="00034B6F">
        <w:t xml:space="preserve"> </w:t>
      </w:r>
      <w:r w:rsidR="00994848">
        <w:t>Nonfederal Entities – sec. 200.313 – 200.326</w:t>
      </w:r>
    </w:p>
    <w:p w:rsidR="00C01BB3" w:rsidRDefault="00034B6F" w:rsidP="00ED7D27">
      <w:pPr>
        <w:pStyle w:val="ListParagraph"/>
        <w:numPr>
          <w:ilvl w:val="0"/>
          <w:numId w:val="1"/>
        </w:numPr>
      </w:pPr>
      <w:r>
        <w:t>M</w:t>
      </w:r>
      <w:r w:rsidR="00E01061">
        <w:t xml:space="preserve">ust have documented procurement procedures </w:t>
      </w:r>
      <w:r w:rsidR="00BC1308">
        <w:t>that</w:t>
      </w:r>
      <w:r w:rsidR="00E01061">
        <w:t xml:space="preserve"> reflect applicable Federal, State, and local laws </w:t>
      </w:r>
      <w:r w:rsidR="00E01061" w:rsidRPr="00C01BB3">
        <w:rPr>
          <w:u w:val="single"/>
        </w:rPr>
        <w:t>before</w:t>
      </w:r>
      <w:r w:rsidR="00E01061">
        <w:t xml:space="preserve"> allocations are awarded</w:t>
      </w:r>
      <w:r>
        <w:t xml:space="preserve"> and must be following those procedures</w:t>
      </w:r>
      <w:r w:rsidR="00E01061">
        <w:t>.</w:t>
      </w:r>
      <w:r w:rsidR="00ED7D27" w:rsidRPr="00ED7D27">
        <w:t xml:space="preserve"> </w:t>
      </w:r>
    </w:p>
    <w:p w:rsidR="00E01061" w:rsidRDefault="00994848" w:rsidP="00ED7D27">
      <w:pPr>
        <w:pStyle w:val="ListParagraph"/>
        <w:numPr>
          <w:ilvl w:val="0"/>
          <w:numId w:val="1"/>
        </w:numPr>
      </w:pPr>
      <w:r>
        <w:t>M</w:t>
      </w:r>
      <w:r w:rsidR="00ED7D27">
        <w:t xml:space="preserve">ust perform a cost </w:t>
      </w:r>
      <w:r w:rsidR="0096723C">
        <w:t xml:space="preserve">or </w:t>
      </w:r>
      <w:r w:rsidR="00ED7D27">
        <w:t xml:space="preserve">price analysis in connection with </w:t>
      </w:r>
      <w:r w:rsidR="00ED7D27" w:rsidRPr="00C01BB3">
        <w:rPr>
          <w:u w:val="single"/>
        </w:rPr>
        <w:t>every</w:t>
      </w:r>
      <w:r w:rsidR="00ED7D27">
        <w:t xml:space="preserve"> procurement action, including contract modification.</w:t>
      </w:r>
    </w:p>
    <w:p w:rsidR="0096723C" w:rsidRDefault="0096723C" w:rsidP="00ED7D27">
      <w:pPr>
        <w:pStyle w:val="ListParagraph"/>
        <w:numPr>
          <w:ilvl w:val="0"/>
          <w:numId w:val="1"/>
        </w:numPr>
      </w:pPr>
      <w:r>
        <w:t>Must have written selection procedures - award to lowest responsive and responsible bidder (value)</w:t>
      </w:r>
    </w:p>
    <w:p w:rsidR="0096723C" w:rsidRDefault="0096723C" w:rsidP="00ED7D27">
      <w:pPr>
        <w:pStyle w:val="ListParagraph"/>
        <w:numPr>
          <w:ilvl w:val="0"/>
          <w:numId w:val="1"/>
        </w:numPr>
      </w:pPr>
      <w:r>
        <w:t xml:space="preserve">“Small” purchase procedures threshold to be raised from $100k to $150k.  </w:t>
      </w:r>
      <w:proofErr w:type="spellStart"/>
      <w:r>
        <w:t>Brustein</w:t>
      </w:r>
      <w:proofErr w:type="spellEnd"/>
      <w:r>
        <w:t xml:space="preserve"> recommends getting more than two </w:t>
      </w:r>
      <w:r w:rsidR="00994848">
        <w:t>quotes (print internet screen, circle one you select and note “best value”)</w:t>
      </w:r>
    </w:p>
    <w:p w:rsidR="0096723C" w:rsidRDefault="0096723C" w:rsidP="00ED7D27">
      <w:pPr>
        <w:pStyle w:val="ListParagraph"/>
        <w:numPr>
          <w:ilvl w:val="0"/>
          <w:numId w:val="1"/>
        </w:numPr>
      </w:pPr>
      <w:r>
        <w:t>N</w:t>
      </w:r>
      <w:r w:rsidR="00BB03E6">
        <w:t>EW:</w:t>
      </w:r>
      <w:r>
        <w:t xml:space="preserve"> “</w:t>
      </w:r>
      <w:r w:rsidR="00BB03E6">
        <w:t>M</w:t>
      </w:r>
      <w:r>
        <w:t>icro purchase</w:t>
      </w:r>
      <w:r w:rsidR="00BB03E6">
        <w:t>s</w:t>
      </w:r>
      <w:r>
        <w:t xml:space="preserve">” for purchases under $3,000: cost must be reasonable.  </w:t>
      </w:r>
      <w:proofErr w:type="spellStart"/>
      <w:r>
        <w:t>Brustein</w:t>
      </w:r>
      <w:proofErr w:type="spellEnd"/>
      <w:r>
        <w:t xml:space="preserve"> recommends getting more than two quotes.</w:t>
      </w:r>
    </w:p>
    <w:p w:rsidR="00994848" w:rsidRDefault="00994848" w:rsidP="00ED7D27">
      <w:pPr>
        <w:pStyle w:val="ListParagraph"/>
        <w:numPr>
          <w:ilvl w:val="0"/>
          <w:numId w:val="1"/>
        </w:numPr>
      </w:pPr>
      <w:r>
        <w:t>N</w:t>
      </w:r>
      <w:r w:rsidR="00BB03E6">
        <w:t>EW: N</w:t>
      </w:r>
      <w:r>
        <w:t>eed separate authorization to sole source even if the vendor is named in the federal application.</w:t>
      </w:r>
    </w:p>
    <w:p w:rsidR="00994848" w:rsidRDefault="00994848" w:rsidP="00ED7D27">
      <w:pPr>
        <w:pStyle w:val="ListParagraph"/>
        <w:numPr>
          <w:ilvl w:val="0"/>
          <w:numId w:val="1"/>
        </w:numPr>
      </w:pPr>
      <w:r>
        <w:t xml:space="preserve">More defined contract admin requirements </w:t>
      </w:r>
    </w:p>
    <w:p w:rsidR="00994848" w:rsidRDefault="00994848" w:rsidP="00994848">
      <w:pPr>
        <w:pStyle w:val="ListParagraph"/>
        <w:numPr>
          <w:ilvl w:val="1"/>
          <w:numId w:val="1"/>
        </w:numPr>
      </w:pPr>
      <w:r>
        <w:t>program sign offs to show goods or services received</w:t>
      </w:r>
    </w:p>
    <w:p w:rsidR="00994848" w:rsidRDefault="00994848" w:rsidP="00994848">
      <w:pPr>
        <w:pStyle w:val="ListParagraph"/>
        <w:numPr>
          <w:ilvl w:val="1"/>
          <w:numId w:val="1"/>
        </w:numPr>
      </w:pPr>
      <w:r>
        <w:t>demand more detailed invoices</w:t>
      </w:r>
      <w:r w:rsidR="00FF47E2">
        <w:t xml:space="preserve"> – who, what, when, where, in addition to services rendered</w:t>
      </w:r>
    </w:p>
    <w:p w:rsidR="00BB03E6" w:rsidRDefault="00BB03E6" w:rsidP="00ED7D27">
      <w:pPr>
        <w:pStyle w:val="ListParagraph"/>
        <w:numPr>
          <w:ilvl w:val="0"/>
          <w:numId w:val="1"/>
        </w:numPr>
      </w:pPr>
      <w:r>
        <w:t>Equipment definition – not changing</w:t>
      </w:r>
    </w:p>
    <w:p w:rsidR="00BB03E6" w:rsidRDefault="00BB03E6" w:rsidP="00ED7D27">
      <w:pPr>
        <w:pStyle w:val="ListParagraph"/>
        <w:numPr>
          <w:ilvl w:val="0"/>
          <w:numId w:val="1"/>
        </w:numPr>
      </w:pPr>
      <w:r>
        <w:t xml:space="preserve">Supplies definition – “computing devices” are supplies if cost &lt;$5,000 (don’t need asset tag and documentation); however, since grantee must maintain internal control regardless of cost, </w:t>
      </w:r>
      <w:proofErr w:type="spellStart"/>
      <w:r>
        <w:t>Brustein</w:t>
      </w:r>
      <w:proofErr w:type="spellEnd"/>
      <w:r>
        <w:t xml:space="preserve"> recommends not chan</w:t>
      </w:r>
      <w:r w:rsidR="00C12CF7">
        <w:t>ging current processes just yet</w:t>
      </w:r>
    </w:p>
    <w:p w:rsidR="00994848" w:rsidRDefault="00994848" w:rsidP="00ED7D27">
      <w:pPr>
        <w:pStyle w:val="ListParagraph"/>
        <w:numPr>
          <w:ilvl w:val="0"/>
          <w:numId w:val="1"/>
        </w:numPr>
      </w:pPr>
      <w:r>
        <w:t>Need to see how EDGAR defines these</w:t>
      </w:r>
    </w:p>
    <w:p w:rsidR="00E01061" w:rsidRPr="00E01061" w:rsidRDefault="00E01061" w:rsidP="00E01061">
      <w:pPr>
        <w:pStyle w:val="ListParagraph"/>
        <w:rPr>
          <w:u w:val="single"/>
        </w:rPr>
      </w:pPr>
    </w:p>
    <w:p w:rsidR="00B17690" w:rsidRPr="00B17690" w:rsidRDefault="00262A1F" w:rsidP="00B17690">
      <w:pPr>
        <w:pStyle w:val="ListParagraph"/>
        <w:numPr>
          <w:ilvl w:val="0"/>
          <w:numId w:val="2"/>
        </w:numPr>
        <w:rPr>
          <w:u w:val="single"/>
        </w:rPr>
      </w:pPr>
      <w:r w:rsidRPr="00994848">
        <w:rPr>
          <w:b/>
        </w:rPr>
        <w:t>Audits and Audit Resolution</w:t>
      </w:r>
      <w:r w:rsidR="00285A0B">
        <w:t xml:space="preserve"> – </w:t>
      </w:r>
      <w:r w:rsidR="00B17690">
        <w:t>sec. 200.513 – 200.520</w:t>
      </w:r>
    </w:p>
    <w:p w:rsidR="00B17690" w:rsidRPr="00B17690" w:rsidRDefault="00B17690" w:rsidP="00B17690">
      <w:pPr>
        <w:pStyle w:val="ListParagraph"/>
        <w:numPr>
          <w:ilvl w:val="0"/>
          <w:numId w:val="17"/>
        </w:numPr>
        <w:rPr>
          <w:u w:val="single"/>
        </w:rPr>
      </w:pPr>
      <w:r>
        <w:t>T</w:t>
      </w:r>
      <w:r w:rsidR="00285A0B">
        <w:t xml:space="preserve">hreshold </w:t>
      </w:r>
      <w:r>
        <w:t>raised to</w:t>
      </w:r>
      <w:r w:rsidR="00285A0B">
        <w:t xml:space="preserve"> $750k vs $500k</w:t>
      </w:r>
      <w:r>
        <w:t xml:space="preserve"> – we are still responsible for the integrity of the awards</w:t>
      </w:r>
    </w:p>
    <w:p w:rsidR="00B24D9C" w:rsidRDefault="00B17690" w:rsidP="00B17690">
      <w:pPr>
        <w:pStyle w:val="ListParagraph"/>
        <w:numPr>
          <w:ilvl w:val="0"/>
          <w:numId w:val="17"/>
        </w:numPr>
      </w:pPr>
      <w:proofErr w:type="spellStart"/>
      <w:r>
        <w:t>Self assessment</w:t>
      </w:r>
      <w:proofErr w:type="spellEnd"/>
      <w:r>
        <w:t xml:space="preserve"> is critical (another “ICE” age coming)</w:t>
      </w:r>
    </w:p>
    <w:p w:rsidR="00B17690" w:rsidRDefault="00B3191B" w:rsidP="00B17690">
      <w:pPr>
        <w:pStyle w:val="ListParagraph"/>
        <w:numPr>
          <w:ilvl w:val="0"/>
          <w:numId w:val="17"/>
        </w:numPr>
      </w:pPr>
      <w:r>
        <w:t>Emphasized c</w:t>
      </w:r>
      <w:r w:rsidR="00F37F0B">
        <w:t>ooperative resolution</w:t>
      </w:r>
    </w:p>
    <w:p w:rsidR="00E01061" w:rsidRPr="00E01061" w:rsidRDefault="00E01061" w:rsidP="00E01061">
      <w:pPr>
        <w:ind w:left="360"/>
        <w:rPr>
          <w:u w:val="single"/>
        </w:rPr>
      </w:pPr>
    </w:p>
    <w:p w:rsidR="00E01061" w:rsidRPr="00994848" w:rsidRDefault="00E01061" w:rsidP="00E01061">
      <w:pPr>
        <w:pStyle w:val="ListParagraph"/>
        <w:numPr>
          <w:ilvl w:val="0"/>
          <w:numId w:val="2"/>
        </w:numPr>
        <w:rPr>
          <w:b/>
          <w:u w:val="single"/>
        </w:rPr>
      </w:pPr>
      <w:r w:rsidRPr="00994848">
        <w:rPr>
          <w:b/>
        </w:rPr>
        <w:t>Financial Management Controls</w:t>
      </w:r>
      <w:r w:rsidR="00B17690">
        <w:rPr>
          <w:b/>
        </w:rPr>
        <w:t xml:space="preserve"> </w:t>
      </w:r>
      <w:r w:rsidR="00B17690">
        <w:t>– sec. 200.300 – 200.309</w:t>
      </w:r>
    </w:p>
    <w:p w:rsidR="00F37F0B" w:rsidRDefault="00ED7D27" w:rsidP="00ED7D27">
      <w:pPr>
        <w:pStyle w:val="ListParagraph"/>
        <w:numPr>
          <w:ilvl w:val="0"/>
          <w:numId w:val="7"/>
        </w:numPr>
      </w:pPr>
      <w:r>
        <w:t xml:space="preserve">All nonfederal entities must have and follow </w:t>
      </w:r>
      <w:r w:rsidR="00B24D9C" w:rsidRPr="00B24D9C">
        <w:rPr>
          <w:u w:val="single"/>
        </w:rPr>
        <w:t>written</w:t>
      </w:r>
      <w:r w:rsidR="00B24D9C">
        <w:t xml:space="preserve"> </w:t>
      </w:r>
      <w:r>
        <w:t>cash manageme</w:t>
      </w:r>
      <w:r w:rsidR="00C12CF7">
        <w:t>nt policies that adhere to CMIA</w:t>
      </w:r>
      <w:r>
        <w:t xml:space="preserve">  </w:t>
      </w:r>
    </w:p>
    <w:p w:rsidR="00ED7D27" w:rsidRDefault="00ED7D27" w:rsidP="00ED7D27">
      <w:pPr>
        <w:pStyle w:val="ListParagraph"/>
        <w:numPr>
          <w:ilvl w:val="0"/>
          <w:numId w:val="7"/>
        </w:numPr>
      </w:pPr>
      <w:r>
        <w:t>Pass-</w:t>
      </w:r>
      <w:r w:rsidR="00F37F0B">
        <w:t>t</w:t>
      </w:r>
      <w:r>
        <w:t xml:space="preserve">hrough </w:t>
      </w:r>
      <w:r w:rsidR="00F37F0B">
        <w:t>a</w:t>
      </w:r>
      <w:r>
        <w:t xml:space="preserve">gency </w:t>
      </w:r>
      <w:r w:rsidR="00F37F0B">
        <w:t>must</w:t>
      </w:r>
      <w:r>
        <w:t xml:space="preserve"> monitor and validate su</w:t>
      </w:r>
      <w:r w:rsidR="00C12CF7">
        <w:t>ch policy</w:t>
      </w:r>
    </w:p>
    <w:p w:rsidR="00B3191B" w:rsidRDefault="00B3191B" w:rsidP="00B24D9C">
      <w:pPr>
        <w:pStyle w:val="ListParagraph"/>
        <w:numPr>
          <w:ilvl w:val="0"/>
          <w:numId w:val="7"/>
        </w:numPr>
      </w:pPr>
      <w:r>
        <w:t xml:space="preserve">Must have </w:t>
      </w:r>
      <w:r w:rsidR="00474847">
        <w:t>written internal controls</w:t>
      </w:r>
      <w:r w:rsidR="00F37F0B">
        <w:t>, policies and procedures</w:t>
      </w:r>
      <w:r>
        <w:t xml:space="preserve"> for</w:t>
      </w:r>
      <w:r w:rsidR="00474847">
        <w:t xml:space="preserve"> </w:t>
      </w:r>
      <w:r w:rsidR="00B24D9C">
        <w:t>CM, allowable costs, etc</w:t>
      </w:r>
      <w:r w:rsidR="00ED169B">
        <w:t>.</w:t>
      </w:r>
      <w:r>
        <w:t xml:space="preserve"> </w:t>
      </w:r>
      <w:r w:rsidR="00474847">
        <w:t xml:space="preserve">– match them to </w:t>
      </w:r>
      <w:r w:rsidR="00ED169B">
        <w:t>o</w:t>
      </w:r>
      <w:bookmarkStart w:id="0" w:name="_GoBack"/>
      <w:bookmarkEnd w:id="0"/>
      <w:r w:rsidR="00474847">
        <w:t>mni circular and EDGAR</w:t>
      </w:r>
      <w:r w:rsidR="00B24D9C">
        <w:t xml:space="preserve"> </w:t>
      </w:r>
    </w:p>
    <w:p w:rsidR="00F37F0B" w:rsidRDefault="00F37F0B" w:rsidP="00B24D9C">
      <w:pPr>
        <w:pStyle w:val="ListParagraph"/>
        <w:numPr>
          <w:ilvl w:val="0"/>
          <w:numId w:val="7"/>
        </w:numPr>
      </w:pPr>
      <w:r>
        <w:lastRenderedPageBreak/>
        <w:t xml:space="preserve">NEW: </w:t>
      </w:r>
      <w:r w:rsidR="00B24D9C" w:rsidRPr="00B24D9C">
        <w:t>Federal awarding agency can collect</w:t>
      </w:r>
      <w:r w:rsidR="00B3191B">
        <w:t xml:space="preserve"> only</w:t>
      </w:r>
      <w:r w:rsidR="00B24D9C" w:rsidRPr="00B24D9C">
        <w:t xml:space="preserve"> OMB</w:t>
      </w:r>
      <w:r w:rsidR="00B3191B">
        <w:t>-</w:t>
      </w:r>
      <w:r w:rsidR="00B24D9C" w:rsidRPr="00B24D9C">
        <w:t xml:space="preserve">approved data elements </w:t>
      </w:r>
    </w:p>
    <w:p w:rsidR="00B24D9C" w:rsidRPr="00B24D9C" w:rsidRDefault="00F37F0B" w:rsidP="00B24D9C">
      <w:pPr>
        <w:pStyle w:val="ListParagraph"/>
        <w:numPr>
          <w:ilvl w:val="0"/>
          <w:numId w:val="7"/>
        </w:numPr>
      </w:pPr>
      <w:r>
        <w:t xml:space="preserve">NEW: </w:t>
      </w:r>
      <w:r w:rsidR="00B24D9C" w:rsidRPr="00B24D9C">
        <w:t>All nonfederal entities must submit performance reports with OMB required information</w:t>
      </w:r>
    </w:p>
    <w:p w:rsidR="00474847" w:rsidRDefault="00474847" w:rsidP="00ED7D27">
      <w:pPr>
        <w:pStyle w:val="ListParagraph"/>
        <w:numPr>
          <w:ilvl w:val="0"/>
          <w:numId w:val="7"/>
        </w:numPr>
      </w:pPr>
      <w:r>
        <w:t>Not sure how EDGAR will address performance metrics</w:t>
      </w:r>
      <w:r w:rsidR="00B24D9C">
        <w:t>, but Omni says:</w:t>
      </w:r>
    </w:p>
    <w:p w:rsidR="00B24D9C" w:rsidRDefault="00B24D9C" w:rsidP="008A5195">
      <w:pPr>
        <w:pStyle w:val="ListParagraph"/>
        <w:numPr>
          <w:ilvl w:val="1"/>
          <w:numId w:val="7"/>
        </w:numPr>
      </w:pPr>
      <w:r>
        <w:t>Compare actual accomplishments to objectives (quantify where possible)</w:t>
      </w:r>
    </w:p>
    <w:p w:rsidR="00B24D9C" w:rsidRDefault="00B24D9C" w:rsidP="00B24D9C">
      <w:pPr>
        <w:pStyle w:val="ListParagraph"/>
        <w:numPr>
          <w:ilvl w:val="1"/>
          <w:numId w:val="7"/>
        </w:numPr>
      </w:pPr>
      <w:r>
        <w:t>Reasons goals were not met (if applicable)</w:t>
      </w:r>
    </w:p>
    <w:p w:rsidR="00B24D9C" w:rsidRDefault="00B24D9C" w:rsidP="00B24D9C">
      <w:pPr>
        <w:pStyle w:val="ListParagraph"/>
        <w:numPr>
          <w:ilvl w:val="1"/>
          <w:numId w:val="7"/>
        </w:numPr>
      </w:pPr>
      <w:r>
        <w:t>Analysis, explanations adverse conditions, favorable developments should be included</w:t>
      </w:r>
    </w:p>
    <w:p w:rsidR="00B24D9C" w:rsidRDefault="00B24D9C" w:rsidP="00B24D9C">
      <w:pPr>
        <w:pStyle w:val="ListParagraph"/>
        <w:ind w:left="1080"/>
      </w:pPr>
    </w:p>
    <w:p w:rsidR="00E01061" w:rsidRPr="00B24D9C" w:rsidRDefault="00E01061" w:rsidP="00E01061">
      <w:pPr>
        <w:pStyle w:val="ListParagraph"/>
        <w:numPr>
          <w:ilvl w:val="0"/>
          <w:numId w:val="2"/>
        </w:numPr>
        <w:rPr>
          <w:b/>
          <w:u w:val="single"/>
        </w:rPr>
      </w:pPr>
      <w:r w:rsidRPr="00994848">
        <w:rPr>
          <w:b/>
        </w:rPr>
        <w:t>Indirect Costs</w:t>
      </w:r>
      <w:r w:rsidR="005D2152">
        <w:rPr>
          <w:b/>
        </w:rPr>
        <w:t xml:space="preserve"> </w:t>
      </w:r>
      <w:r w:rsidR="005D2152">
        <w:t>– sec. 200.414</w:t>
      </w:r>
    </w:p>
    <w:p w:rsidR="00B24D9C" w:rsidRDefault="005D2152" w:rsidP="00B24D9C">
      <w:pPr>
        <w:pStyle w:val="ListParagraph"/>
        <w:numPr>
          <w:ilvl w:val="0"/>
          <w:numId w:val="19"/>
        </w:numPr>
      </w:pPr>
      <w:r>
        <w:t>Federal agencies must accept a nonfederal entities negotiated indirect cost rate</w:t>
      </w:r>
    </w:p>
    <w:p w:rsidR="005D2152" w:rsidRDefault="005D2152" w:rsidP="00B24D9C">
      <w:pPr>
        <w:pStyle w:val="ListParagraph"/>
        <w:numPr>
          <w:ilvl w:val="0"/>
          <w:numId w:val="19"/>
        </w:numPr>
      </w:pPr>
      <w:r>
        <w:t>May apply for a one-time extension of up to four years – true</w:t>
      </w:r>
      <w:r w:rsidR="00B3191B">
        <w:t>-</w:t>
      </w:r>
      <w:r>
        <w:t xml:space="preserve">up later </w:t>
      </w:r>
    </w:p>
    <w:p w:rsidR="00FF47E2" w:rsidRPr="00B24D9C" w:rsidRDefault="00FF47E2" w:rsidP="00B24D9C">
      <w:pPr>
        <w:pStyle w:val="ListParagraph"/>
        <w:numPr>
          <w:ilvl w:val="0"/>
          <w:numId w:val="19"/>
        </w:numPr>
      </w:pPr>
      <w:r>
        <w:t xml:space="preserve">10% de </w:t>
      </w:r>
      <w:proofErr w:type="spellStart"/>
      <w:r>
        <w:t>minimis</w:t>
      </w:r>
      <w:proofErr w:type="spellEnd"/>
      <w:r>
        <w:t xml:space="preserve"> rate for entities who have never had a negotiated indirect rate (startup charters, non-profits)</w:t>
      </w:r>
    </w:p>
    <w:p w:rsidR="00E01061" w:rsidRPr="00E01061" w:rsidRDefault="00E01061" w:rsidP="00E01061">
      <w:pPr>
        <w:ind w:left="360"/>
        <w:rPr>
          <w:u w:val="single"/>
        </w:rPr>
      </w:pPr>
    </w:p>
    <w:p w:rsidR="00196AC4" w:rsidRPr="00196AC4" w:rsidRDefault="00E01061" w:rsidP="00196AC4">
      <w:pPr>
        <w:pStyle w:val="ListParagraph"/>
        <w:numPr>
          <w:ilvl w:val="0"/>
          <w:numId w:val="2"/>
        </w:numPr>
        <w:rPr>
          <w:b/>
          <w:u w:val="single"/>
        </w:rPr>
      </w:pPr>
      <w:r w:rsidRPr="00994848">
        <w:rPr>
          <w:b/>
        </w:rPr>
        <w:t>Allowability of Meals and Conferences</w:t>
      </w:r>
      <w:r w:rsidR="005D2152">
        <w:rPr>
          <w:b/>
        </w:rPr>
        <w:t xml:space="preserve"> </w:t>
      </w:r>
      <w:r w:rsidR="00196AC4">
        <w:t xml:space="preserve">– sec. </w:t>
      </w:r>
      <w:r w:rsidR="005D2152">
        <w:t>200.4</w:t>
      </w:r>
      <w:r w:rsidR="00196AC4">
        <w:t>32</w:t>
      </w:r>
      <w:r w:rsidR="00037995">
        <w:t xml:space="preserve"> Conferences, sec. 200.474 Travel</w:t>
      </w:r>
    </w:p>
    <w:p w:rsidR="00196AC4" w:rsidRDefault="00196AC4" w:rsidP="00037995">
      <w:pPr>
        <w:pStyle w:val="ListParagraph"/>
        <w:numPr>
          <w:ilvl w:val="0"/>
          <w:numId w:val="32"/>
        </w:numPr>
      </w:pPr>
      <w:r>
        <w:t>Allowable conference costs may include rental of facilities, speakers’ fees</w:t>
      </w:r>
      <w:r w:rsidR="00037995">
        <w:t>, costs of meals and refreshments, local transportation and other items incidental to such conferences unless restricted by terms of federal award</w:t>
      </w:r>
    </w:p>
    <w:p w:rsidR="00037995" w:rsidRDefault="00FF47E2" w:rsidP="00037995">
      <w:pPr>
        <w:pStyle w:val="ListParagraph"/>
        <w:numPr>
          <w:ilvl w:val="0"/>
          <w:numId w:val="32"/>
        </w:numPr>
      </w:pPr>
      <w:r>
        <w:t>HOWEVER, we w</w:t>
      </w:r>
      <w:r w:rsidR="00037995">
        <w:t xml:space="preserve">ill have to see how EDGAR addresses this since Title II, Part A guidance </w:t>
      </w:r>
      <w:r>
        <w:t xml:space="preserve">(which is not considered “good” guidance) was </w:t>
      </w:r>
      <w:r w:rsidR="00037995">
        <w:t>much more restrictive</w:t>
      </w:r>
    </w:p>
    <w:p w:rsidR="00037995" w:rsidRPr="00196AC4" w:rsidRDefault="00037995" w:rsidP="00037995">
      <w:pPr>
        <w:pStyle w:val="ListParagraph"/>
        <w:numPr>
          <w:ilvl w:val="0"/>
          <w:numId w:val="32"/>
        </w:numPr>
      </w:pPr>
      <w:r>
        <w:t>New, more family-friendly items will have to be addressed in policies/procedures</w:t>
      </w:r>
    </w:p>
    <w:p w:rsidR="00994848" w:rsidRDefault="00994848" w:rsidP="00196AC4">
      <w:pPr>
        <w:pStyle w:val="ListParagraph"/>
        <w:ind w:left="1080"/>
        <w:rPr>
          <w:highlight w:val="green"/>
        </w:rPr>
      </w:pPr>
    </w:p>
    <w:p w:rsidR="00994848" w:rsidRPr="005D2152" w:rsidRDefault="005D2152" w:rsidP="00E01061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>New Responsibilities of the Pass-Through Agency</w:t>
      </w:r>
      <w:r w:rsidR="00C12CF7">
        <w:rPr>
          <w:b/>
        </w:rPr>
        <w:t xml:space="preserve"> </w:t>
      </w:r>
      <w:r w:rsidR="00C12CF7">
        <w:t>– sec. 200.328 - 200.334</w:t>
      </w:r>
    </w:p>
    <w:p w:rsidR="005D2152" w:rsidRPr="005D2152" w:rsidRDefault="005D2152" w:rsidP="005D2152">
      <w:pPr>
        <w:pStyle w:val="ListParagraph"/>
        <w:numPr>
          <w:ilvl w:val="0"/>
          <w:numId w:val="20"/>
        </w:numPr>
        <w:rPr>
          <w:b/>
          <w:u w:val="single"/>
        </w:rPr>
      </w:pPr>
      <w:r>
        <w:t>Single audits – 14 key points now reduced to 8</w:t>
      </w:r>
      <w:r w:rsidR="008A1507">
        <w:t xml:space="preserve"> for single auditors, but agencies must still comply with all 14.</w:t>
      </w:r>
      <w:r>
        <w:t xml:space="preserve"> </w:t>
      </w:r>
    </w:p>
    <w:p w:rsidR="005D2152" w:rsidRPr="005D2152" w:rsidRDefault="005D2152" w:rsidP="005D2152">
      <w:pPr>
        <w:pStyle w:val="ListParagraph"/>
        <w:numPr>
          <w:ilvl w:val="0"/>
          <w:numId w:val="20"/>
        </w:numPr>
        <w:rPr>
          <w:b/>
          <w:u w:val="single"/>
        </w:rPr>
      </w:pPr>
      <w:r>
        <w:t xml:space="preserve">Monitoring of </w:t>
      </w:r>
      <w:proofErr w:type="spellStart"/>
      <w:r>
        <w:t>subgrantees</w:t>
      </w:r>
      <w:proofErr w:type="spellEnd"/>
      <w:r>
        <w:t xml:space="preserve"> is greatly expanded by the </w:t>
      </w:r>
      <w:r w:rsidR="00ED169B">
        <w:t>O</w:t>
      </w:r>
      <w:r>
        <w:t>mni circular.</w:t>
      </w:r>
    </w:p>
    <w:p w:rsidR="005D2152" w:rsidRPr="003E0142" w:rsidRDefault="003E0142" w:rsidP="005D2152">
      <w:pPr>
        <w:pStyle w:val="ListParagraph"/>
        <w:numPr>
          <w:ilvl w:val="0"/>
          <w:numId w:val="20"/>
        </w:numPr>
        <w:rPr>
          <w:b/>
          <w:u w:val="single"/>
        </w:rPr>
      </w:pPr>
      <w:r>
        <w:t>N</w:t>
      </w:r>
      <w:r w:rsidR="00C12CF7">
        <w:t>EW:</w:t>
      </w:r>
      <w:r>
        <w:t xml:space="preserve"> </w:t>
      </w:r>
      <w:r w:rsidR="00C12CF7">
        <w:t>R</w:t>
      </w:r>
      <w:r>
        <w:t>isk management requirements</w:t>
      </w:r>
      <w:r w:rsidR="00C12CF7">
        <w:t xml:space="preserve"> on pass-through agencies – sec. 200.331</w:t>
      </w:r>
    </w:p>
    <w:p w:rsidR="00C12CF7" w:rsidRPr="00C12CF7" w:rsidRDefault="00C12CF7" w:rsidP="00037995">
      <w:pPr>
        <w:pStyle w:val="ListParagraph"/>
        <w:numPr>
          <w:ilvl w:val="1"/>
          <w:numId w:val="20"/>
        </w:numPr>
        <w:rPr>
          <w:b/>
          <w:u w:val="single"/>
        </w:rPr>
      </w:pPr>
      <w:r>
        <w:t>M</w:t>
      </w:r>
      <w:r w:rsidR="008A5195">
        <w:t xml:space="preserve">ust evaluate each </w:t>
      </w:r>
      <w:proofErr w:type="spellStart"/>
      <w:r w:rsidR="008A5195">
        <w:t>subrecipients</w:t>
      </w:r>
      <w:proofErr w:type="spellEnd"/>
      <w:r>
        <w:t>’</w:t>
      </w:r>
      <w:r w:rsidR="008A5195">
        <w:t xml:space="preserve"> risk of non-compliance (series of factors</w:t>
      </w:r>
      <w:r>
        <w:t>)</w:t>
      </w:r>
    </w:p>
    <w:p w:rsidR="00037995" w:rsidRPr="00037995" w:rsidRDefault="00C12CF7" w:rsidP="00037995">
      <w:pPr>
        <w:pStyle w:val="ListParagraph"/>
        <w:numPr>
          <w:ilvl w:val="1"/>
          <w:numId w:val="20"/>
        </w:numPr>
        <w:rPr>
          <w:b/>
          <w:u w:val="single"/>
        </w:rPr>
      </w:pPr>
      <w:r>
        <w:t xml:space="preserve">Must review and monitor </w:t>
      </w:r>
      <w:proofErr w:type="spellStart"/>
      <w:r>
        <w:t>subrecipients</w:t>
      </w:r>
      <w:proofErr w:type="spellEnd"/>
      <w:r>
        <w:t>’ policies and procedures for contracts/procurement, cash mgmt., etc.</w:t>
      </w:r>
    </w:p>
    <w:p w:rsidR="008A5195" w:rsidRPr="008A5195" w:rsidRDefault="00C12CF7" w:rsidP="003E0142">
      <w:pPr>
        <w:pStyle w:val="ListParagraph"/>
        <w:numPr>
          <w:ilvl w:val="1"/>
          <w:numId w:val="20"/>
        </w:numPr>
        <w:rPr>
          <w:b/>
          <w:u w:val="single"/>
        </w:rPr>
      </w:pPr>
      <w:r>
        <w:t>M</w:t>
      </w:r>
      <w:r w:rsidR="008A5195">
        <w:t xml:space="preserve">ust monitor </w:t>
      </w:r>
      <w:proofErr w:type="spellStart"/>
      <w:r w:rsidR="008A5195">
        <w:t>subrecipients</w:t>
      </w:r>
      <w:proofErr w:type="spellEnd"/>
      <w:r w:rsidR="008A5195">
        <w:t xml:space="preserve"> to assure achievement of compliance and performance goals</w:t>
      </w:r>
      <w:r w:rsidR="00037995">
        <w:t xml:space="preserve"> (metrics)</w:t>
      </w:r>
    </w:p>
    <w:p w:rsidR="008A5195" w:rsidRPr="00C12CF7" w:rsidRDefault="00C12CF7" w:rsidP="003E0142">
      <w:pPr>
        <w:pStyle w:val="ListParagraph"/>
        <w:numPr>
          <w:ilvl w:val="1"/>
          <w:numId w:val="20"/>
        </w:numPr>
        <w:rPr>
          <w:b/>
          <w:u w:val="single"/>
        </w:rPr>
      </w:pPr>
      <w:r>
        <w:t>M</w:t>
      </w:r>
      <w:r w:rsidR="008A5195">
        <w:t>ust consider taking enforcement action for non-compliance (need to document that enforcement action was considered after training, reviews, providing procedure</w:t>
      </w:r>
      <w:r>
        <w:t>s)</w:t>
      </w:r>
    </w:p>
    <w:p w:rsidR="00C12CF7" w:rsidRPr="003E0142" w:rsidRDefault="00C12CF7" w:rsidP="003E0142">
      <w:pPr>
        <w:pStyle w:val="ListParagraph"/>
        <w:numPr>
          <w:ilvl w:val="1"/>
          <w:numId w:val="20"/>
        </w:numPr>
        <w:rPr>
          <w:b/>
          <w:u w:val="single"/>
        </w:rPr>
      </w:pPr>
      <w:r>
        <w:t xml:space="preserve">Many requirements to be contained in the </w:t>
      </w:r>
      <w:proofErr w:type="spellStart"/>
      <w:r>
        <w:t>subawards</w:t>
      </w:r>
      <w:proofErr w:type="spellEnd"/>
    </w:p>
    <w:p w:rsidR="00ED7D27" w:rsidRPr="00ED7D27" w:rsidRDefault="00ED7D27" w:rsidP="00ED7D27">
      <w:pPr>
        <w:ind w:left="360"/>
        <w:rPr>
          <w:u w:val="single"/>
        </w:rPr>
      </w:pPr>
    </w:p>
    <w:p w:rsidR="00ED7D27" w:rsidRPr="00B3191B" w:rsidRDefault="00ED7D27" w:rsidP="00ED7D27">
      <w:pPr>
        <w:ind w:left="360"/>
        <w:rPr>
          <w:b/>
          <w:u w:val="single"/>
        </w:rPr>
      </w:pPr>
      <w:r w:rsidRPr="00B3191B">
        <w:rPr>
          <w:b/>
          <w:u w:val="single"/>
        </w:rPr>
        <w:t>Other:</w:t>
      </w:r>
    </w:p>
    <w:p w:rsidR="00ED7D27" w:rsidRPr="00ED7D27" w:rsidRDefault="00ED7D27" w:rsidP="00ED7D27">
      <w:pPr>
        <w:ind w:left="720"/>
      </w:pPr>
    </w:p>
    <w:p w:rsidR="00ED7D27" w:rsidRDefault="00ED7D27" w:rsidP="00ED7D27">
      <w:pPr>
        <w:pStyle w:val="ListParagraph"/>
        <w:numPr>
          <w:ilvl w:val="0"/>
          <w:numId w:val="5"/>
        </w:numPr>
      </w:pPr>
      <w:r w:rsidRPr="00ED7D27">
        <w:t>Policies and Procedures</w:t>
      </w:r>
      <w:r w:rsidR="00185045">
        <w:t xml:space="preserve"> – need to update</w:t>
      </w:r>
      <w:r w:rsidR="00C12CF7">
        <w:t xml:space="preserve"> to make sure in compliance, easy to find, </w:t>
      </w:r>
      <w:r w:rsidR="004C7D1B">
        <w:t xml:space="preserve">and everyone is following them.  </w:t>
      </w:r>
      <w:proofErr w:type="spellStart"/>
      <w:r w:rsidR="00CF46F7">
        <w:t>Brustein’s</w:t>
      </w:r>
      <w:proofErr w:type="spellEnd"/>
      <w:r w:rsidR="00CF46F7">
        <w:t xml:space="preserve"> s</w:t>
      </w:r>
      <w:r w:rsidR="004C7D1B">
        <w:t>uggested list:</w:t>
      </w:r>
    </w:p>
    <w:p w:rsidR="004C7D1B" w:rsidRDefault="004C7D1B" w:rsidP="004C7D1B">
      <w:pPr>
        <w:pStyle w:val="ListParagraph"/>
      </w:pPr>
    </w:p>
    <w:p w:rsidR="004C7D1B" w:rsidRDefault="004C7D1B" w:rsidP="004C7D1B">
      <w:pPr>
        <w:pStyle w:val="ListParagraph"/>
      </w:pPr>
      <w:r>
        <w:t>Org Structure and Function</w:t>
      </w:r>
      <w:r>
        <w:tab/>
      </w:r>
      <w:r>
        <w:tab/>
      </w:r>
      <w:r>
        <w:tab/>
        <w:t>Record Keeping</w:t>
      </w:r>
    </w:p>
    <w:p w:rsidR="004C7D1B" w:rsidRDefault="004C7D1B" w:rsidP="004C7D1B">
      <w:pPr>
        <w:pStyle w:val="ListParagraph"/>
      </w:pPr>
      <w:r>
        <w:t>Grant Application Process</w:t>
      </w:r>
      <w:r>
        <w:tab/>
      </w:r>
      <w:r>
        <w:tab/>
      </w:r>
      <w:r>
        <w:tab/>
        <w:t>Monitoring</w:t>
      </w:r>
    </w:p>
    <w:p w:rsidR="004C7D1B" w:rsidRDefault="004C7D1B" w:rsidP="004C7D1B">
      <w:pPr>
        <w:pStyle w:val="ListParagraph"/>
      </w:pPr>
      <w:r>
        <w:t xml:space="preserve">Financial </w:t>
      </w:r>
      <w:proofErr w:type="spellStart"/>
      <w:r>
        <w:t>Mgmt</w:t>
      </w:r>
      <w:proofErr w:type="spellEnd"/>
      <w:r>
        <w:t xml:space="preserve"> System</w:t>
      </w:r>
      <w:r>
        <w:tab/>
      </w:r>
      <w:r>
        <w:tab/>
      </w:r>
      <w:r>
        <w:tab/>
      </w:r>
      <w:r>
        <w:tab/>
        <w:t>Audit Resolution</w:t>
      </w:r>
    </w:p>
    <w:p w:rsidR="004C7D1B" w:rsidRDefault="004C7D1B" w:rsidP="004C7D1B">
      <w:pPr>
        <w:pStyle w:val="ListParagraph"/>
      </w:pPr>
      <w:r>
        <w:t>Procurement</w:t>
      </w:r>
      <w:r>
        <w:tab/>
      </w:r>
      <w:r>
        <w:tab/>
      </w:r>
      <w:r>
        <w:tab/>
      </w:r>
      <w:r>
        <w:tab/>
      </w:r>
      <w:r>
        <w:tab/>
        <w:t>Programmatic Fiscal Requirements</w:t>
      </w:r>
    </w:p>
    <w:p w:rsidR="004C7D1B" w:rsidRDefault="004C7D1B" w:rsidP="004C7D1B">
      <w:pPr>
        <w:pStyle w:val="ListParagraph"/>
      </w:pPr>
      <w:r>
        <w:t xml:space="preserve">Inventory/Property </w:t>
      </w:r>
      <w:proofErr w:type="spellStart"/>
      <w:r>
        <w:t>Mgmt</w:t>
      </w:r>
      <w:proofErr w:type="spellEnd"/>
      <w:r>
        <w:tab/>
      </w:r>
      <w:r>
        <w:tab/>
      </w:r>
      <w:r>
        <w:tab/>
        <w:t>Programmatic Requirements</w:t>
      </w:r>
    </w:p>
    <w:p w:rsidR="00ED7D27" w:rsidRDefault="004C7D1B" w:rsidP="00C01BB3">
      <w:pPr>
        <w:pStyle w:val="ListParagraph"/>
      </w:pPr>
      <w:r>
        <w:t>Time and Effort</w:t>
      </w:r>
    </w:p>
    <w:sectPr w:rsidR="00ED7D27" w:rsidSect="00ED7D27">
      <w:type w:val="continuous"/>
      <w:pgSz w:w="12240" w:h="15840" w:code="1"/>
      <w:pgMar w:top="1440" w:right="1080" w:bottom="1440" w:left="1080" w:header="0" w:footer="288" w:gutter="0"/>
      <w:paperSrc w:first="7" w:other="7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199"/>
    <w:multiLevelType w:val="hybridMultilevel"/>
    <w:tmpl w:val="B2760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C3987"/>
    <w:multiLevelType w:val="hybridMultilevel"/>
    <w:tmpl w:val="97C4A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B6600"/>
    <w:multiLevelType w:val="hybridMultilevel"/>
    <w:tmpl w:val="A6A80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881437"/>
    <w:multiLevelType w:val="hybridMultilevel"/>
    <w:tmpl w:val="8C80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53518"/>
    <w:multiLevelType w:val="hybridMultilevel"/>
    <w:tmpl w:val="4756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69063F"/>
    <w:multiLevelType w:val="hybridMultilevel"/>
    <w:tmpl w:val="7F381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5823D9"/>
    <w:multiLevelType w:val="hybridMultilevel"/>
    <w:tmpl w:val="FB28CD4C"/>
    <w:lvl w:ilvl="0" w:tplc="BAE20194">
      <w:start w:val="7"/>
      <w:numFmt w:val="bullet"/>
      <w:lvlText w:val="•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824C1F"/>
    <w:multiLevelType w:val="hybridMultilevel"/>
    <w:tmpl w:val="24B48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6757B1"/>
    <w:multiLevelType w:val="hybridMultilevel"/>
    <w:tmpl w:val="E5AC8A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4B4955"/>
    <w:multiLevelType w:val="hybridMultilevel"/>
    <w:tmpl w:val="118C6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334CA2"/>
    <w:multiLevelType w:val="hybridMultilevel"/>
    <w:tmpl w:val="6F62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257A2"/>
    <w:multiLevelType w:val="hybridMultilevel"/>
    <w:tmpl w:val="46B4C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7233F7"/>
    <w:multiLevelType w:val="hybridMultilevel"/>
    <w:tmpl w:val="C464C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372270"/>
    <w:multiLevelType w:val="hybridMultilevel"/>
    <w:tmpl w:val="58F40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BD407B"/>
    <w:multiLevelType w:val="hybridMultilevel"/>
    <w:tmpl w:val="E7C0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CA7975"/>
    <w:multiLevelType w:val="hybridMultilevel"/>
    <w:tmpl w:val="E8FCC586"/>
    <w:lvl w:ilvl="0" w:tplc="BAE20194">
      <w:start w:val="7"/>
      <w:numFmt w:val="bullet"/>
      <w:lvlText w:val="•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A144F9"/>
    <w:multiLevelType w:val="hybridMultilevel"/>
    <w:tmpl w:val="AE9E6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AB6DA1"/>
    <w:multiLevelType w:val="hybridMultilevel"/>
    <w:tmpl w:val="1C62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36F24"/>
    <w:multiLevelType w:val="hybridMultilevel"/>
    <w:tmpl w:val="01384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252DDD"/>
    <w:multiLevelType w:val="hybridMultilevel"/>
    <w:tmpl w:val="5A3AF51C"/>
    <w:lvl w:ilvl="0" w:tplc="BAE20194">
      <w:start w:val="7"/>
      <w:numFmt w:val="bullet"/>
      <w:lvlText w:val="•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986ED6"/>
    <w:multiLevelType w:val="hybridMultilevel"/>
    <w:tmpl w:val="177A0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222BE"/>
    <w:multiLevelType w:val="hybridMultilevel"/>
    <w:tmpl w:val="197A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93987"/>
    <w:multiLevelType w:val="hybridMultilevel"/>
    <w:tmpl w:val="3F8E8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F7602B"/>
    <w:multiLevelType w:val="hybridMultilevel"/>
    <w:tmpl w:val="5348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67DD3"/>
    <w:multiLevelType w:val="hybridMultilevel"/>
    <w:tmpl w:val="177A0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F33A9"/>
    <w:multiLevelType w:val="hybridMultilevel"/>
    <w:tmpl w:val="0AA003CE"/>
    <w:lvl w:ilvl="0" w:tplc="BAE20194">
      <w:start w:val="7"/>
      <w:numFmt w:val="bullet"/>
      <w:lvlText w:val="•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C677E6A"/>
    <w:multiLevelType w:val="hybridMultilevel"/>
    <w:tmpl w:val="F3EC4146"/>
    <w:lvl w:ilvl="0" w:tplc="BAE20194">
      <w:start w:val="7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7741F2"/>
    <w:multiLevelType w:val="hybridMultilevel"/>
    <w:tmpl w:val="00400076"/>
    <w:lvl w:ilvl="0" w:tplc="BAE20194">
      <w:start w:val="7"/>
      <w:numFmt w:val="bullet"/>
      <w:lvlText w:val="•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779C1"/>
    <w:multiLevelType w:val="hybridMultilevel"/>
    <w:tmpl w:val="59F8F8E8"/>
    <w:lvl w:ilvl="0" w:tplc="BAE20194">
      <w:start w:val="7"/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8B20EAC"/>
    <w:multiLevelType w:val="hybridMultilevel"/>
    <w:tmpl w:val="29F8697E"/>
    <w:lvl w:ilvl="0" w:tplc="BAE20194">
      <w:start w:val="7"/>
      <w:numFmt w:val="bullet"/>
      <w:lvlText w:val="•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5A5EF3"/>
    <w:multiLevelType w:val="hybridMultilevel"/>
    <w:tmpl w:val="C172D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1"/>
  </w:num>
  <w:num w:numId="4">
    <w:abstractNumId w:val="8"/>
  </w:num>
  <w:num w:numId="5">
    <w:abstractNumId w:val="20"/>
  </w:num>
  <w:num w:numId="6">
    <w:abstractNumId w:val="18"/>
  </w:num>
  <w:num w:numId="7">
    <w:abstractNumId w:val="1"/>
  </w:num>
  <w:num w:numId="8">
    <w:abstractNumId w:val="16"/>
  </w:num>
  <w:num w:numId="9">
    <w:abstractNumId w:val="12"/>
  </w:num>
  <w:num w:numId="10">
    <w:abstractNumId w:val="15"/>
  </w:num>
  <w:num w:numId="11">
    <w:abstractNumId w:val="6"/>
  </w:num>
  <w:num w:numId="12">
    <w:abstractNumId w:val="26"/>
  </w:num>
  <w:num w:numId="13">
    <w:abstractNumId w:val="25"/>
  </w:num>
  <w:num w:numId="14">
    <w:abstractNumId w:val="29"/>
  </w:num>
  <w:num w:numId="15">
    <w:abstractNumId w:val="19"/>
  </w:num>
  <w:num w:numId="16">
    <w:abstractNumId w:val="28"/>
  </w:num>
  <w:num w:numId="17">
    <w:abstractNumId w:val="27"/>
  </w:num>
  <w:num w:numId="18">
    <w:abstractNumId w:val="17"/>
  </w:num>
  <w:num w:numId="19">
    <w:abstractNumId w:val="22"/>
  </w:num>
  <w:num w:numId="20">
    <w:abstractNumId w:val="13"/>
  </w:num>
  <w:num w:numId="21">
    <w:abstractNumId w:val="9"/>
  </w:num>
  <w:num w:numId="22">
    <w:abstractNumId w:val="23"/>
  </w:num>
  <w:num w:numId="23">
    <w:abstractNumId w:val="30"/>
  </w:num>
  <w:num w:numId="24">
    <w:abstractNumId w:val="10"/>
  </w:num>
  <w:num w:numId="25">
    <w:abstractNumId w:val="0"/>
  </w:num>
  <w:num w:numId="26">
    <w:abstractNumId w:val="21"/>
  </w:num>
  <w:num w:numId="27">
    <w:abstractNumId w:val="14"/>
  </w:num>
  <w:num w:numId="28">
    <w:abstractNumId w:val="5"/>
  </w:num>
  <w:num w:numId="29">
    <w:abstractNumId w:val="3"/>
  </w:num>
  <w:num w:numId="30">
    <w:abstractNumId w:val="7"/>
  </w:num>
  <w:num w:numId="31">
    <w:abstractNumId w:val="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61"/>
    <w:rsid w:val="00034B6F"/>
    <w:rsid w:val="00037995"/>
    <w:rsid w:val="00185045"/>
    <w:rsid w:val="00196AC4"/>
    <w:rsid w:val="00262A1F"/>
    <w:rsid w:val="00285A0B"/>
    <w:rsid w:val="002C153D"/>
    <w:rsid w:val="003E0142"/>
    <w:rsid w:val="00431735"/>
    <w:rsid w:val="00474847"/>
    <w:rsid w:val="004C7D1B"/>
    <w:rsid w:val="005A3B17"/>
    <w:rsid w:val="005D2152"/>
    <w:rsid w:val="005E25C6"/>
    <w:rsid w:val="006170D6"/>
    <w:rsid w:val="007B7917"/>
    <w:rsid w:val="008A1507"/>
    <w:rsid w:val="008A5195"/>
    <w:rsid w:val="0096723C"/>
    <w:rsid w:val="0098589B"/>
    <w:rsid w:val="00994848"/>
    <w:rsid w:val="00B17690"/>
    <w:rsid w:val="00B24D9C"/>
    <w:rsid w:val="00B3191B"/>
    <w:rsid w:val="00B357C3"/>
    <w:rsid w:val="00B41E19"/>
    <w:rsid w:val="00BB03E6"/>
    <w:rsid w:val="00BC1308"/>
    <w:rsid w:val="00C01BB3"/>
    <w:rsid w:val="00C12CF7"/>
    <w:rsid w:val="00CF46F7"/>
    <w:rsid w:val="00E01061"/>
    <w:rsid w:val="00ED169B"/>
    <w:rsid w:val="00ED7D27"/>
    <w:rsid w:val="00F37F0B"/>
    <w:rsid w:val="00FF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7C3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8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8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58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58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58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58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58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58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858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858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858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9858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5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58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58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8589B"/>
  </w:style>
  <w:style w:type="character" w:styleId="Emphasis">
    <w:name w:val="Emphasis"/>
    <w:basedOn w:val="DefaultParagraphFont"/>
    <w:uiPriority w:val="20"/>
    <w:qFormat/>
    <w:rsid w:val="0098589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8589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98589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01061"/>
    <w:pPr>
      <w:ind w:left="720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7C3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8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8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58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58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58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58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58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58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858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858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858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9858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5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58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58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8589B"/>
  </w:style>
  <w:style w:type="character" w:styleId="Emphasis">
    <w:name w:val="Emphasis"/>
    <w:basedOn w:val="DefaultParagraphFont"/>
    <w:uiPriority w:val="20"/>
    <w:qFormat/>
    <w:rsid w:val="0098589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8589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98589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01061"/>
    <w:pPr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D7650-0920-4E99-B46C-75306730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4610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Krefman, Naomi (MDE)</dc:creator>
  <cp:lastModifiedBy>Jennifer</cp:lastModifiedBy>
  <cp:revision>2</cp:revision>
  <cp:lastPrinted>2014-05-14T14:58:00Z</cp:lastPrinted>
  <dcterms:created xsi:type="dcterms:W3CDTF">2014-08-27T20:07:00Z</dcterms:created>
  <dcterms:modified xsi:type="dcterms:W3CDTF">2014-08-27T20:07:00Z</dcterms:modified>
</cp:coreProperties>
</file>