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98" w:rsidRDefault="00264E73" w:rsidP="0052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264E73">
        <w:rPr>
          <w:noProof/>
          <w:color w:val="1F497D" w:themeColor="text2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5.5pt;margin-top:61.4pt;width:573.1pt;height:0;z-index:251658240" o:connectortype="straight" strokecolor="#0070c0" strokeweight="1.5pt"/>
        </w:pict>
      </w:r>
      <w:r w:rsidR="00280975" w:rsidRPr="00DA047B">
        <w:rPr>
          <w:rFonts w:ascii="Times New Roman" w:hAnsi="Times New Roman" w:cs="Times New Roman"/>
          <w:color w:val="1F497D" w:themeColor="text2"/>
          <w:sz w:val="52"/>
          <w:szCs w:val="52"/>
        </w:rPr>
        <w:t>Frequently Asked Questions:</w:t>
      </w:r>
    </w:p>
    <w:p w:rsidR="00841D0A" w:rsidRDefault="00841D0A" w:rsidP="0052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color w:val="1F497D" w:themeColor="text2"/>
          <w:sz w:val="52"/>
          <w:szCs w:val="52"/>
        </w:rPr>
        <w:t>Postsecondary Enrollment Reports</w:t>
      </w:r>
    </w:p>
    <w:p w:rsidR="00DD6B52" w:rsidRDefault="00841D0A" w:rsidP="00A3459D">
      <w:pPr>
        <w:autoSpaceDE w:val="0"/>
        <w:autoSpaceDN w:val="0"/>
        <w:adjustRightInd w:val="0"/>
        <w:spacing w:before="60" w:after="240" w:line="240" w:lineRule="auto"/>
        <w:jc w:val="center"/>
        <w:rPr>
          <w:rFonts w:ascii="Times New Roman" w:hAnsi="Times New Roman" w:cs="Times New Roman"/>
          <w:color w:val="1F497D" w:themeColor="text2"/>
          <w:sz w:val="36"/>
          <w:szCs w:val="52"/>
        </w:rPr>
      </w:pPr>
      <w:r w:rsidRPr="00841D0A">
        <w:rPr>
          <w:rFonts w:ascii="Times New Roman" w:hAnsi="Times New Roman" w:cs="Times New Roman"/>
          <w:color w:val="1F497D" w:themeColor="text2"/>
          <w:sz w:val="36"/>
          <w:szCs w:val="52"/>
        </w:rPr>
        <w:t>State Fiscal Stabilization Fund Indicator (c)(11)</w:t>
      </w:r>
    </w:p>
    <w:p w:rsidR="00014081" w:rsidRPr="00841D0A" w:rsidRDefault="00014081" w:rsidP="00A3459D">
      <w:pPr>
        <w:autoSpaceDE w:val="0"/>
        <w:autoSpaceDN w:val="0"/>
        <w:adjustRightInd w:val="0"/>
        <w:spacing w:before="60" w:after="240" w:line="240" w:lineRule="auto"/>
        <w:jc w:val="center"/>
        <w:rPr>
          <w:color w:val="1F497D" w:themeColor="text2"/>
          <w:sz w:val="14"/>
        </w:rPr>
      </w:pPr>
    </w:p>
    <w:p w:rsidR="00841D0A" w:rsidRDefault="00226B6C" w:rsidP="00841D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Why did the Virginia Depa</w:t>
      </w:r>
      <w:r w:rsidR="00832B74" w:rsidRPr="00A3459D">
        <w:rPr>
          <w:rFonts w:asciiTheme="majorHAnsi" w:hAnsiTheme="majorHAnsi" w:cs="Calibri"/>
          <w:sz w:val="24"/>
          <w:szCs w:val="24"/>
        </w:rPr>
        <w:t xml:space="preserve">rtment of Education </w:t>
      </w:r>
      <w:r w:rsidR="00450F1C" w:rsidRPr="00A3459D">
        <w:rPr>
          <w:rFonts w:asciiTheme="majorHAnsi" w:hAnsiTheme="majorHAnsi" w:cs="Calibri"/>
          <w:sz w:val="24"/>
          <w:szCs w:val="24"/>
        </w:rPr>
        <w:t xml:space="preserve">(VDOE) </w:t>
      </w:r>
      <w:r w:rsidR="00832B74" w:rsidRPr="00A3459D">
        <w:rPr>
          <w:rFonts w:asciiTheme="majorHAnsi" w:hAnsiTheme="majorHAnsi" w:cs="Calibri"/>
          <w:sz w:val="24"/>
          <w:szCs w:val="24"/>
        </w:rPr>
        <w:t xml:space="preserve">develop </w:t>
      </w:r>
      <w:r w:rsidR="002743A6" w:rsidRPr="00A3459D">
        <w:rPr>
          <w:rFonts w:asciiTheme="majorHAnsi" w:hAnsiTheme="majorHAnsi" w:cs="Calibri"/>
          <w:sz w:val="24"/>
          <w:szCs w:val="24"/>
        </w:rPr>
        <w:t>postsecondary e</w:t>
      </w:r>
      <w:r w:rsidR="00CF2443" w:rsidRPr="00A3459D">
        <w:rPr>
          <w:rFonts w:asciiTheme="majorHAnsi" w:hAnsiTheme="majorHAnsi" w:cs="Calibri"/>
          <w:sz w:val="24"/>
          <w:szCs w:val="24"/>
        </w:rPr>
        <w:t xml:space="preserve">nrollment </w:t>
      </w:r>
      <w:r w:rsidR="00C619AE" w:rsidRPr="00A3459D">
        <w:rPr>
          <w:rFonts w:asciiTheme="majorHAnsi" w:hAnsiTheme="majorHAnsi" w:cs="Calibri"/>
          <w:sz w:val="24"/>
          <w:szCs w:val="24"/>
        </w:rPr>
        <w:t>r</w:t>
      </w:r>
      <w:r w:rsidRPr="00A3459D">
        <w:rPr>
          <w:rFonts w:asciiTheme="majorHAnsi" w:hAnsiTheme="majorHAnsi" w:cs="Calibri"/>
          <w:sz w:val="24"/>
          <w:szCs w:val="24"/>
        </w:rPr>
        <w:t>eport</w:t>
      </w:r>
      <w:r w:rsidR="00832B74" w:rsidRPr="00A3459D">
        <w:rPr>
          <w:rFonts w:asciiTheme="majorHAnsi" w:hAnsiTheme="majorHAnsi" w:cs="Calibri"/>
          <w:sz w:val="24"/>
          <w:szCs w:val="24"/>
        </w:rPr>
        <w:t>s</w:t>
      </w:r>
      <w:r w:rsidRPr="00A3459D">
        <w:rPr>
          <w:rFonts w:asciiTheme="majorHAnsi" w:hAnsiTheme="majorHAnsi" w:cs="Calibri"/>
          <w:sz w:val="24"/>
          <w:szCs w:val="24"/>
        </w:rPr>
        <w:t>?</w:t>
      </w:r>
    </w:p>
    <w:p w:rsidR="00FD0C48" w:rsidRPr="00520E85" w:rsidRDefault="00FD0C48" w:rsidP="00FD0C4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sz w:val="12"/>
          <w:szCs w:val="12"/>
        </w:rPr>
      </w:pPr>
    </w:p>
    <w:p w:rsidR="00226B6C" w:rsidRPr="00A3459D" w:rsidRDefault="00841D0A" w:rsidP="00226B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Postsecondary enrollment reports </w:t>
      </w:r>
      <w:r w:rsidR="00CF2443" w:rsidRPr="00A3459D">
        <w:rPr>
          <w:rFonts w:asciiTheme="majorHAnsi" w:hAnsiTheme="majorHAnsi" w:cs="Calibri"/>
          <w:sz w:val="24"/>
          <w:szCs w:val="24"/>
        </w:rPr>
        <w:t xml:space="preserve">satisfy a federal reporting requirement </w:t>
      </w:r>
      <w:r w:rsidRPr="00A3459D">
        <w:rPr>
          <w:rFonts w:asciiTheme="majorHAnsi" w:hAnsiTheme="majorHAnsi" w:cs="Calibri"/>
          <w:sz w:val="24"/>
          <w:szCs w:val="24"/>
        </w:rPr>
        <w:t xml:space="preserve">for </w:t>
      </w:r>
      <w:r w:rsidR="00C619AE" w:rsidRPr="00A3459D">
        <w:rPr>
          <w:rFonts w:asciiTheme="majorHAnsi" w:hAnsiTheme="majorHAnsi" w:cs="Calibri"/>
          <w:sz w:val="24"/>
          <w:szCs w:val="24"/>
        </w:rPr>
        <w:t xml:space="preserve">State Fiscal Stabilization Fund 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(SFSF) </w:t>
      </w:r>
      <w:r w:rsidR="00CF2443" w:rsidRPr="00A3459D">
        <w:rPr>
          <w:rFonts w:asciiTheme="majorHAnsi" w:hAnsiTheme="majorHAnsi" w:cs="Calibri"/>
          <w:sz w:val="24"/>
          <w:szCs w:val="24"/>
        </w:rPr>
        <w:t>indicator (c)(11)</w:t>
      </w:r>
      <w:r w:rsidR="00C619AE" w:rsidRPr="00A3459D">
        <w:rPr>
          <w:rFonts w:asciiTheme="majorHAnsi" w:hAnsiTheme="majorHAnsi" w:cs="Calibri"/>
          <w:sz w:val="24"/>
          <w:szCs w:val="24"/>
        </w:rPr>
        <w:t xml:space="preserve">. </w:t>
      </w:r>
      <w:r w:rsidRPr="00A3459D">
        <w:rPr>
          <w:rFonts w:asciiTheme="majorHAnsi" w:hAnsiTheme="majorHAnsi"/>
          <w:sz w:val="24"/>
          <w:szCs w:val="24"/>
        </w:rPr>
        <w:t xml:space="preserve"> </w:t>
      </w:r>
      <w:r w:rsidRPr="00A3459D">
        <w:rPr>
          <w:rFonts w:asciiTheme="majorHAnsi" w:hAnsiTheme="majorHAnsi" w:cs="Calibri"/>
          <w:sz w:val="24"/>
          <w:szCs w:val="24"/>
        </w:rPr>
        <w:t xml:space="preserve">In </w:t>
      </w:r>
      <w:r w:rsidR="009C3571" w:rsidRPr="00A3459D">
        <w:rPr>
          <w:rFonts w:asciiTheme="majorHAnsi" w:hAnsiTheme="majorHAnsi" w:cs="Calibri"/>
          <w:sz w:val="24"/>
          <w:szCs w:val="24"/>
        </w:rPr>
        <w:t>applying for funding under the SFSF</w:t>
      </w:r>
      <w:r w:rsidRPr="00A3459D">
        <w:rPr>
          <w:rFonts w:asciiTheme="majorHAnsi" w:hAnsiTheme="majorHAnsi" w:cs="Calibri"/>
          <w:sz w:val="24"/>
          <w:szCs w:val="24"/>
        </w:rPr>
        <w:t xml:space="preserve"> program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 of the American Recovery and Reinvestment Act of 2009</w:t>
      </w:r>
      <w:r w:rsidRPr="00A3459D">
        <w:rPr>
          <w:rFonts w:asciiTheme="majorHAnsi" w:hAnsiTheme="majorHAnsi" w:cs="Calibri"/>
          <w:sz w:val="24"/>
          <w:szCs w:val="24"/>
        </w:rPr>
        <w:t xml:space="preserve">, Virginia (as the grantee) assured 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the </w:t>
      </w:r>
      <w:r w:rsidRPr="00A3459D">
        <w:rPr>
          <w:rFonts w:asciiTheme="majorHAnsi" w:hAnsiTheme="majorHAnsi" w:cs="Calibri"/>
          <w:sz w:val="24"/>
          <w:szCs w:val="24"/>
        </w:rPr>
        <w:t>U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nited States </w:t>
      </w:r>
      <w:r w:rsidRPr="00A3459D">
        <w:rPr>
          <w:rFonts w:asciiTheme="majorHAnsi" w:hAnsiTheme="majorHAnsi" w:cs="Calibri"/>
          <w:sz w:val="24"/>
          <w:szCs w:val="24"/>
        </w:rPr>
        <w:t>D</w:t>
      </w:r>
      <w:r w:rsidR="009C3571" w:rsidRPr="00A3459D">
        <w:rPr>
          <w:rFonts w:asciiTheme="majorHAnsi" w:hAnsiTheme="majorHAnsi" w:cs="Calibri"/>
          <w:sz w:val="24"/>
          <w:szCs w:val="24"/>
        </w:rPr>
        <w:t>epartment of Education (USED)</w:t>
      </w:r>
      <w:r w:rsidRPr="00A3459D">
        <w:rPr>
          <w:rFonts w:asciiTheme="majorHAnsi" w:hAnsiTheme="majorHAnsi" w:cs="Calibri"/>
          <w:sz w:val="24"/>
          <w:szCs w:val="24"/>
        </w:rPr>
        <w:t xml:space="preserve"> of compliance with all of the requirements for accountability, transp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arency and reporting.  One requirement of the </w:t>
      </w:r>
      <w:r w:rsidR="00C76A04" w:rsidRPr="00A3459D">
        <w:rPr>
          <w:rFonts w:asciiTheme="majorHAnsi" w:hAnsiTheme="majorHAnsi" w:cs="Calibri"/>
          <w:sz w:val="24"/>
          <w:szCs w:val="24"/>
        </w:rPr>
        <w:t xml:space="preserve">SFSF 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program was to report information on high school graduates’ postsecondary enrollment outcomes. </w:t>
      </w:r>
      <w:r w:rsidRPr="00A3459D">
        <w:rPr>
          <w:rFonts w:asciiTheme="majorHAnsi" w:hAnsiTheme="majorHAnsi" w:cs="Calibri"/>
          <w:sz w:val="24"/>
          <w:szCs w:val="24"/>
        </w:rPr>
        <w:t xml:space="preserve"> </w:t>
      </w:r>
    </w:p>
    <w:p w:rsidR="007711B1" w:rsidRPr="00A3459D" w:rsidRDefault="007711B1" w:rsidP="007711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Calibri"/>
          <w:sz w:val="24"/>
          <w:szCs w:val="24"/>
        </w:rPr>
      </w:pPr>
    </w:p>
    <w:p w:rsidR="007711B1" w:rsidRDefault="007711B1" w:rsidP="007711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What information </w:t>
      </w:r>
      <w:r w:rsidR="00832B74" w:rsidRPr="00A3459D">
        <w:rPr>
          <w:rFonts w:asciiTheme="majorHAnsi" w:hAnsiTheme="majorHAnsi" w:cs="Calibri"/>
          <w:sz w:val="24"/>
          <w:szCs w:val="24"/>
        </w:rPr>
        <w:t xml:space="preserve">do </w:t>
      </w:r>
      <w:r w:rsidR="002743A6" w:rsidRPr="00A3459D">
        <w:rPr>
          <w:rFonts w:asciiTheme="majorHAnsi" w:hAnsiTheme="majorHAnsi" w:cs="Calibri"/>
          <w:sz w:val="24"/>
          <w:szCs w:val="24"/>
        </w:rPr>
        <w:t>p</w:t>
      </w:r>
      <w:r w:rsidR="009C3571" w:rsidRPr="00A3459D">
        <w:rPr>
          <w:rFonts w:asciiTheme="majorHAnsi" w:hAnsiTheme="majorHAnsi" w:cs="Calibri"/>
          <w:sz w:val="24"/>
          <w:szCs w:val="24"/>
        </w:rPr>
        <w:t>ostseco</w:t>
      </w:r>
      <w:r w:rsidR="00A919FF" w:rsidRPr="00A3459D">
        <w:rPr>
          <w:rFonts w:asciiTheme="majorHAnsi" w:hAnsiTheme="majorHAnsi" w:cs="Calibri"/>
          <w:sz w:val="24"/>
          <w:szCs w:val="24"/>
        </w:rPr>
        <w:t xml:space="preserve">ndary </w:t>
      </w:r>
      <w:r w:rsidR="002743A6" w:rsidRPr="00A3459D">
        <w:rPr>
          <w:rFonts w:asciiTheme="majorHAnsi" w:hAnsiTheme="majorHAnsi" w:cs="Calibri"/>
          <w:sz w:val="24"/>
          <w:szCs w:val="24"/>
        </w:rPr>
        <w:t>e</w:t>
      </w:r>
      <w:r w:rsidR="00A919FF" w:rsidRPr="00A3459D">
        <w:rPr>
          <w:rFonts w:asciiTheme="majorHAnsi" w:hAnsiTheme="majorHAnsi" w:cs="Calibri"/>
          <w:sz w:val="24"/>
          <w:szCs w:val="24"/>
        </w:rPr>
        <w:t xml:space="preserve">nrollment 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reports </w:t>
      </w:r>
      <w:r w:rsidRPr="00A3459D">
        <w:rPr>
          <w:rFonts w:asciiTheme="majorHAnsi" w:hAnsiTheme="majorHAnsi" w:cs="Calibri"/>
          <w:sz w:val="24"/>
          <w:szCs w:val="24"/>
        </w:rPr>
        <w:t xml:space="preserve">provide about Virginia </w:t>
      </w:r>
      <w:r w:rsidR="00841D0A" w:rsidRPr="00A3459D">
        <w:rPr>
          <w:rFonts w:asciiTheme="majorHAnsi" w:hAnsiTheme="majorHAnsi" w:cs="Calibri"/>
          <w:sz w:val="24"/>
          <w:szCs w:val="24"/>
        </w:rPr>
        <w:t xml:space="preserve">high school </w:t>
      </w:r>
      <w:r w:rsidRPr="00A3459D">
        <w:rPr>
          <w:rFonts w:asciiTheme="majorHAnsi" w:hAnsiTheme="majorHAnsi" w:cs="Calibri"/>
          <w:sz w:val="24"/>
          <w:szCs w:val="24"/>
        </w:rPr>
        <w:t>graduates?</w:t>
      </w:r>
    </w:p>
    <w:p w:rsidR="00FD0C48" w:rsidRPr="00520E85" w:rsidRDefault="00FD0C48" w:rsidP="00FD0C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7711B1" w:rsidRPr="00A3459D" w:rsidRDefault="009C3571" w:rsidP="007711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Postsecondary enrollment</w:t>
      </w:r>
      <w:r w:rsidR="00C619AE" w:rsidRPr="00A3459D">
        <w:rPr>
          <w:rFonts w:asciiTheme="majorHAnsi" w:hAnsiTheme="majorHAnsi" w:cs="Calibri"/>
          <w:sz w:val="24"/>
          <w:szCs w:val="24"/>
        </w:rPr>
        <w:t xml:space="preserve"> r</w:t>
      </w:r>
      <w:r w:rsidR="007711B1" w:rsidRPr="00A3459D">
        <w:rPr>
          <w:rFonts w:asciiTheme="majorHAnsi" w:hAnsiTheme="majorHAnsi" w:cs="Calibri"/>
          <w:sz w:val="24"/>
          <w:szCs w:val="24"/>
        </w:rPr>
        <w:t>eport</w:t>
      </w:r>
      <w:r w:rsidR="00147E7E" w:rsidRPr="00A3459D">
        <w:rPr>
          <w:rFonts w:asciiTheme="majorHAnsi" w:hAnsiTheme="majorHAnsi" w:cs="Calibri"/>
          <w:sz w:val="24"/>
          <w:szCs w:val="24"/>
        </w:rPr>
        <w:t>s show</w:t>
      </w:r>
      <w:r w:rsidR="007711B1" w:rsidRPr="00A3459D">
        <w:rPr>
          <w:rFonts w:asciiTheme="majorHAnsi" w:hAnsiTheme="majorHAnsi" w:cs="Calibri"/>
          <w:sz w:val="24"/>
          <w:szCs w:val="24"/>
        </w:rPr>
        <w:t xml:space="preserve"> the number and percent of Virginia</w:t>
      </w:r>
      <w:r w:rsidRPr="00A3459D">
        <w:rPr>
          <w:rFonts w:asciiTheme="majorHAnsi" w:hAnsiTheme="majorHAnsi" w:cs="Calibri"/>
          <w:sz w:val="24"/>
          <w:szCs w:val="24"/>
        </w:rPr>
        <w:t xml:space="preserve"> high school</w:t>
      </w:r>
      <w:r w:rsidR="007711B1" w:rsidRPr="00A3459D">
        <w:rPr>
          <w:rFonts w:asciiTheme="majorHAnsi" w:hAnsiTheme="majorHAnsi" w:cs="Calibri"/>
          <w:sz w:val="24"/>
          <w:szCs w:val="24"/>
        </w:rPr>
        <w:t xml:space="preserve"> graduates who enrolled in an Institution of Higher Education (IHE) withi</w:t>
      </w:r>
      <w:r w:rsidR="0040475A" w:rsidRPr="00A3459D">
        <w:rPr>
          <w:rFonts w:asciiTheme="majorHAnsi" w:hAnsiTheme="majorHAnsi" w:cs="Calibri"/>
          <w:sz w:val="24"/>
          <w:szCs w:val="24"/>
        </w:rPr>
        <w:t>n sixteen months of graduati</w:t>
      </w:r>
      <w:r w:rsidR="007711B1" w:rsidRPr="00A3459D">
        <w:rPr>
          <w:rFonts w:asciiTheme="majorHAnsi" w:hAnsiTheme="majorHAnsi" w:cs="Calibri"/>
          <w:sz w:val="24"/>
          <w:szCs w:val="24"/>
        </w:rPr>
        <w:t>n</w:t>
      </w:r>
      <w:r w:rsidR="0040475A" w:rsidRPr="00A3459D">
        <w:rPr>
          <w:rFonts w:asciiTheme="majorHAnsi" w:hAnsiTheme="majorHAnsi" w:cs="Calibri"/>
          <w:sz w:val="24"/>
          <w:szCs w:val="24"/>
        </w:rPr>
        <w:t>g high school</w:t>
      </w:r>
      <w:r w:rsidR="00A919FF" w:rsidRPr="00A3459D">
        <w:rPr>
          <w:rFonts w:asciiTheme="majorHAnsi" w:hAnsiTheme="majorHAnsi" w:cs="Calibri"/>
          <w:sz w:val="24"/>
          <w:szCs w:val="24"/>
        </w:rPr>
        <w:t xml:space="preserve">. Reports are available at the </w:t>
      </w:r>
      <w:r w:rsidR="007711B1" w:rsidRPr="00A3459D">
        <w:rPr>
          <w:rFonts w:asciiTheme="majorHAnsi" w:hAnsiTheme="majorHAnsi" w:cs="Calibri"/>
          <w:sz w:val="24"/>
          <w:szCs w:val="24"/>
        </w:rPr>
        <w:t>state,</w:t>
      </w:r>
      <w:r w:rsidR="00FD0C48">
        <w:rPr>
          <w:rFonts w:asciiTheme="majorHAnsi" w:hAnsiTheme="majorHAnsi" w:cs="Calibri"/>
          <w:sz w:val="24"/>
          <w:szCs w:val="24"/>
        </w:rPr>
        <w:t xml:space="preserve"> school</w:t>
      </w:r>
      <w:r w:rsidR="007711B1" w:rsidRPr="00A3459D">
        <w:rPr>
          <w:rFonts w:asciiTheme="majorHAnsi" w:hAnsiTheme="majorHAnsi" w:cs="Calibri"/>
          <w:sz w:val="24"/>
          <w:szCs w:val="24"/>
        </w:rPr>
        <w:t xml:space="preserve"> division</w:t>
      </w:r>
      <w:r w:rsidR="00A919FF" w:rsidRPr="00A3459D">
        <w:rPr>
          <w:rFonts w:asciiTheme="majorHAnsi" w:hAnsiTheme="majorHAnsi" w:cs="Calibri"/>
          <w:sz w:val="24"/>
          <w:szCs w:val="24"/>
        </w:rPr>
        <w:t xml:space="preserve"> </w:t>
      </w:r>
      <w:r w:rsidR="00841D0A" w:rsidRPr="00A3459D">
        <w:rPr>
          <w:rFonts w:asciiTheme="majorHAnsi" w:hAnsiTheme="majorHAnsi" w:cs="Calibri"/>
          <w:sz w:val="24"/>
          <w:szCs w:val="24"/>
        </w:rPr>
        <w:t>and</w:t>
      </w:r>
      <w:r w:rsidR="007711B1" w:rsidRPr="00A3459D">
        <w:rPr>
          <w:rFonts w:asciiTheme="majorHAnsi" w:hAnsiTheme="majorHAnsi" w:cs="Calibri"/>
          <w:sz w:val="24"/>
          <w:szCs w:val="24"/>
        </w:rPr>
        <w:t xml:space="preserve"> school</w:t>
      </w:r>
      <w:r w:rsidR="00A919FF" w:rsidRPr="00A3459D">
        <w:rPr>
          <w:rFonts w:asciiTheme="majorHAnsi" w:hAnsiTheme="majorHAnsi" w:cs="Calibri"/>
          <w:sz w:val="24"/>
          <w:szCs w:val="24"/>
        </w:rPr>
        <w:t xml:space="preserve"> </w:t>
      </w:r>
      <w:r w:rsidR="007711B1" w:rsidRPr="00A3459D">
        <w:rPr>
          <w:rFonts w:asciiTheme="majorHAnsi" w:hAnsiTheme="majorHAnsi" w:cs="Calibri"/>
          <w:sz w:val="24"/>
          <w:szCs w:val="24"/>
        </w:rPr>
        <w:t xml:space="preserve">level for </w:t>
      </w:r>
      <w:r w:rsidR="00841D0A" w:rsidRPr="00A3459D">
        <w:rPr>
          <w:rFonts w:asciiTheme="majorHAnsi" w:hAnsiTheme="majorHAnsi" w:cs="Calibri"/>
          <w:sz w:val="24"/>
          <w:szCs w:val="24"/>
        </w:rPr>
        <w:t>all students and by student subgroups.</w:t>
      </w:r>
    </w:p>
    <w:p w:rsidR="00226B6C" w:rsidRPr="00A3459D" w:rsidRDefault="00226B6C" w:rsidP="00226B6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sz w:val="24"/>
          <w:szCs w:val="24"/>
        </w:rPr>
      </w:pPr>
    </w:p>
    <w:p w:rsidR="00DD6B52" w:rsidRDefault="004E331C" w:rsidP="00DD6B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Which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 </w:t>
      </w:r>
      <w:r w:rsidR="007711B1" w:rsidRPr="00A3459D">
        <w:rPr>
          <w:rFonts w:asciiTheme="majorHAnsi" w:hAnsiTheme="majorHAnsi" w:cs="Calibri"/>
          <w:sz w:val="24"/>
          <w:szCs w:val="24"/>
        </w:rPr>
        <w:t>graduates</w:t>
      </w:r>
      <w:r w:rsidR="00081903" w:rsidRPr="00A3459D">
        <w:rPr>
          <w:rFonts w:asciiTheme="majorHAnsi" w:hAnsiTheme="majorHAnsi" w:cs="Calibri"/>
          <w:sz w:val="24"/>
          <w:szCs w:val="24"/>
        </w:rPr>
        <w:t xml:space="preserve"> are included in </w:t>
      </w:r>
      <w:r w:rsidR="002743A6" w:rsidRPr="00A3459D">
        <w:rPr>
          <w:rFonts w:asciiTheme="majorHAnsi" w:hAnsiTheme="majorHAnsi" w:cs="Calibri"/>
          <w:sz w:val="24"/>
          <w:szCs w:val="24"/>
        </w:rPr>
        <w:t>p</w:t>
      </w:r>
      <w:r w:rsidR="009C3571" w:rsidRPr="00A3459D">
        <w:rPr>
          <w:rFonts w:asciiTheme="majorHAnsi" w:hAnsiTheme="majorHAnsi" w:cs="Calibri"/>
          <w:sz w:val="24"/>
          <w:szCs w:val="24"/>
        </w:rPr>
        <w:t>ostsecondar</w:t>
      </w:r>
      <w:r w:rsidR="002743A6" w:rsidRPr="00A3459D">
        <w:rPr>
          <w:rFonts w:asciiTheme="majorHAnsi" w:hAnsiTheme="majorHAnsi" w:cs="Calibri"/>
          <w:sz w:val="24"/>
          <w:szCs w:val="24"/>
        </w:rPr>
        <w:t>y e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nrollment </w:t>
      </w:r>
      <w:r w:rsidR="00C619AE" w:rsidRPr="00A3459D">
        <w:rPr>
          <w:rFonts w:asciiTheme="majorHAnsi" w:hAnsiTheme="majorHAnsi" w:cs="Calibri"/>
          <w:sz w:val="24"/>
          <w:szCs w:val="24"/>
        </w:rPr>
        <w:t>r</w:t>
      </w:r>
      <w:r w:rsidRPr="00A3459D">
        <w:rPr>
          <w:rFonts w:asciiTheme="majorHAnsi" w:hAnsiTheme="majorHAnsi" w:cs="Calibri"/>
          <w:sz w:val="24"/>
          <w:szCs w:val="24"/>
        </w:rPr>
        <w:t>eport</w:t>
      </w:r>
      <w:r w:rsidR="00147E7E" w:rsidRPr="00A3459D">
        <w:rPr>
          <w:rFonts w:asciiTheme="majorHAnsi" w:hAnsiTheme="majorHAnsi" w:cs="Calibri"/>
          <w:sz w:val="24"/>
          <w:szCs w:val="24"/>
        </w:rPr>
        <w:t>s</w:t>
      </w:r>
      <w:r w:rsidR="00DD6B52" w:rsidRPr="00A3459D">
        <w:rPr>
          <w:rFonts w:asciiTheme="majorHAnsi" w:hAnsiTheme="majorHAnsi" w:cs="Calibri"/>
          <w:sz w:val="24"/>
          <w:szCs w:val="24"/>
        </w:rPr>
        <w:t>?</w:t>
      </w:r>
    </w:p>
    <w:p w:rsidR="00FD0C48" w:rsidRPr="00520E85" w:rsidRDefault="00FD0C48" w:rsidP="00FD0C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DD6B52" w:rsidRDefault="000909E5" w:rsidP="00DD6B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As </w:t>
      </w:r>
      <w:r w:rsidR="00841D0A" w:rsidRPr="00A3459D">
        <w:rPr>
          <w:rFonts w:asciiTheme="majorHAnsi" w:hAnsiTheme="majorHAnsi" w:cs="Calibri"/>
          <w:sz w:val="24"/>
          <w:szCs w:val="24"/>
        </w:rPr>
        <w:t>required</w:t>
      </w:r>
      <w:r w:rsidRPr="00A3459D">
        <w:rPr>
          <w:rFonts w:asciiTheme="majorHAnsi" w:hAnsiTheme="majorHAnsi" w:cs="Calibri"/>
          <w:sz w:val="24"/>
          <w:szCs w:val="24"/>
        </w:rPr>
        <w:t xml:space="preserve"> by </w:t>
      </w:r>
      <w:r w:rsidR="00081903" w:rsidRPr="00A3459D">
        <w:rPr>
          <w:rFonts w:asciiTheme="majorHAnsi" w:hAnsiTheme="majorHAnsi" w:cs="Calibri"/>
          <w:sz w:val="24"/>
          <w:szCs w:val="24"/>
        </w:rPr>
        <w:t>U</w:t>
      </w:r>
      <w:r w:rsidR="009C3571" w:rsidRPr="00A3459D">
        <w:rPr>
          <w:rFonts w:asciiTheme="majorHAnsi" w:hAnsiTheme="majorHAnsi" w:cs="Calibri"/>
          <w:sz w:val="24"/>
          <w:szCs w:val="24"/>
        </w:rPr>
        <w:t>SED</w:t>
      </w:r>
      <w:r w:rsidR="00081903" w:rsidRPr="00A3459D">
        <w:rPr>
          <w:rFonts w:asciiTheme="majorHAnsi" w:hAnsiTheme="majorHAnsi" w:cs="Calibri"/>
          <w:sz w:val="24"/>
          <w:szCs w:val="24"/>
        </w:rPr>
        <w:t xml:space="preserve">, 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postsecondary enrollment reports include </w:t>
      </w:r>
      <w:r w:rsidRPr="00FD0C48">
        <w:rPr>
          <w:rFonts w:asciiTheme="majorHAnsi" w:hAnsiTheme="majorHAnsi" w:cs="Calibri"/>
          <w:b/>
          <w:sz w:val="24"/>
          <w:szCs w:val="24"/>
        </w:rPr>
        <w:t>only</w:t>
      </w:r>
      <w:r w:rsidR="00BD3F48" w:rsidRPr="00A3459D">
        <w:rPr>
          <w:rFonts w:asciiTheme="majorHAnsi" w:hAnsiTheme="majorHAnsi" w:cs="Calibri"/>
          <w:sz w:val="24"/>
          <w:szCs w:val="24"/>
        </w:rPr>
        <w:t xml:space="preserve"> </w:t>
      </w:r>
      <w:r w:rsidR="009C3571" w:rsidRPr="00A3459D">
        <w:rPr>
          <w:rFonts w:asciiTheme="majorHAnsi" w:hAnsiTheme="majorHAnsi" w:cs="Calibri"/>
          <w:sz w:val="24"/>
          <w:szCs w:val="24"/>
        </w:rPr>
        <w:t xml:space="preserve">Virginia graduates as defined for Virginia’s </w:t>
      </w:r>
      <w:r w:rsidR="00BD3F48" w:rsidRPr="00A3459D">
        <w:rPr>
          <w:rFonts w:asciiTheme="majorHAnsi" w:hAnsiTheme="majorHAnsi" w:cs="Calibri"/>
          <w:sz w:val="24"/>
          <w:szCs w:val="24"/>
        </w:rPr>
        <w:t>Federal Graduation Indicator (FGI)</w:t>
      </w:r>
      <w:r w:rsidRPr="00A3459D">
        <w:rPr>
          <w:rFonts w:asciiTheme="majorHAnsi" w:hAnsiTheme="majorHAnsi" w:cs="Calibri"/>
          <w:sz w:val="24"/>
          <w:szCs w:val="24"/>
        </w:rPr>
        <w:t xml:space="preserve">.  </w:t>
      </w:r>
      <w:r w:rsidR="004A24EA" w:rsidRPr="00A3459D">
        <w:rPr>
          <w:rFonts w:asciiTheme="majorHAnsi" w:hAnsiTheme="majorHAnsi" w:cs="Calibri"/>
          <w:sz w:val="24"/>
          <w:szCs w:val="24"/>
        </w:rPr>
        <w:t xml:space="preserve">  </w:t>
      </w:r>
    </w:p>
    <w:p w:rsidR="00FD0C48" w:rsidRPr="00FD0C48" w:rsidRDefault="00FD0C48" w:rsidP="00FD0C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9C3571" w:rsidRPr="00FD0C48" w:rsidRDefault="009C3571" w:rsidP="004A24EA">
      <w:pPr>
        <w:pStyle w:val="ListParagraph"/>
        <w:numPr>
          <w:ilvl w:val="2"/>
          <w:numId w:val="1"/>
        </w:numPr>
        <w:tabs>
          <w:tab w:val="left" w:pos="2250"/>
          <w:tab w:val="left" w:pos="2340"/>
        </w:tabs>
        <w:autoSpaceDE w:val="0"/>
        <w:autoSpaceDN w:val="0"/>
        <w:adjustRightInd w:val="0"/>
        <w:spacing w:after="0" w:line="240" w:lineRule="auto"/>
        <w:ind w:hanging="450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The FGI </w:t>
      </w:r>
      <w:r w:rsidR="00D507FD" w:rsidRPr="00A3459D">
        <w:rPr>
          <w:rFonts w:asciiTheme="majorHAnsi" w:hAnsiTheme="majorHAnsi" w:cs="Calibri"/>
          <w:sz w:val="24"/>
          <w:szCs w:val="24"/>
        </w:rPr>
        <w:t>is</w:t>
      </w:r>
      <w:r w:rsidRPr="00A3459D">
        <w:rPr>
          <w:rFonts w:asciiTheme="majorHAnsi" w:hAnsiTheme="majorHAnsi" w:cs="Calibri"/>
          <w:sz w:val="24"/>
          <w:szCs w:val="24"/>
        </w:rPr>
        <w:t xml:space="preserve"> calculated by following a group of students who started the ninth grade in the same school year; </w:t>
      </w:r>
      <w:r w:rsidRPr="00FD0C48">
        <w:rPr>
          <w:rFonts w:asciiTheme="majorHAnsi" w:hAnsiTheme="majorHAnsi" w:cs="Calibri"/>
          <w:b/>
          <w:sz w:val="24"/>
          <w:szCs w:val="24"/>
        </w:rPr>
        <w:t>and</w:t>
      </w:r>
    </w:p>
    <w:p w:rsidR="00FD0C48" w:rsidRPr="00FD0C48" w:rsidRDefault="00FD0C48" w:rsidP="00FD0C48">
      <w:pPr>
        <w:tabs>
          <w:tab w:val="left" w:pos="225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FD0C48" w:rsidRDefault="009C3571" w:rsidP="00FD0C48">
      <w:pPr>
        <w:pStyle w:val="ListParagraph"/>
        <w:numPr>
          <w:ilvl w:val="2"/>
          <w:numId w:val="1"/>
        </w:numPr>
        <w:tabs>
          <w:tab w:val="left" w:pos="2250"/>
          <w:tab w:val="left" w:pos="2340"/>
        </w:tabs>
        <w:autoSpaceDE w:val="0"/>
        <w:autoSpaceDN w:val="0"/>
        <w:adjustRightInd w:val="0"/>
        <w:spacing w:after="0" w:line="240" w:lineRule="auto"/>
        <w:ind w:hanging="450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Includes students who earned Virginia’s standard or advanced studies diplomas only; students who earn</w:t>
      </w:r>
      <w:r w:rsidR="00737E8C">
        <w:rPr>
          <w:rFonts w:asciiTheme="majorHAnsi" w:hAnsiTheme="majorHAnsi" w:cs="Calibri"/>
          <w:sz w:val="24"/>
          <w:szCs w:val="24"/>
        </w:rPr>
        <w:t>ed</w:t>
      </w:r>
      <w:r w:rsidRPr="00A3459D">
        <w:rPr>
          <w:rFonts w:asciiTheme="majorHAnsi" w:hAnsiTheme="majorHAnsi" w:cs="Calibri"/>
          <w:sz w:val="24"/>
          <w:szCs w:val="24"/>
        </w:rPr>
        <w:t xml:space="preserve"> other Virginia Board of Education approved diplomas are not counted as graduates</w:t>
      </w:r>
      <w:r w:rsidR="003B03B3">
        <w:rPr>
          <w:rFonts w:asciiTheme="majorHAnsi" w:hAnsiTheme="majorHAnsi" w:cs="Calibri"/>
          <w:sz w:val="24"/>
          <w:szCs w:val="24"/>
        </w:rPr>
        <w:t xml:space="preserve"> in the FGI</w:t>
      </w:r>
      <w:r w:rsidRPr="00A3459D">
        <w:rPr>
          <w:rFonts w:asciiTheme="majorHAnsi" w:hAnsiTheme="majorHAnsi" w:cs="Calibri"/>
          <w:sz w:val="24"/>
          <w:szCs w:val="24"/>
        </w:rPr>
        <w:t xml:space="preserve">. </w:t>
      </w:r>
      <w:r w:rsidR="00D507FD" w:rsidRPr="00A3459D">
        <w:rPr>
          <w:rFonts w:asciiTheme="majorHAnsi" w:hAnsiTheme="majorHAnsi" w:cs="Calibri"/>
          <w:sz w:val="24"/>
          <w:szCs w:val="24"/>
        </w:rPr>
        <w:t xml:space="preserve"> </w:t>
      </w:r>
    </w:p>
    <w:p w:rsidR="00FD0C48" w:rsidRPr="00FD0C48" w:rsidRDefault="00FD0C48" w:rsidP="00FD0C48">
      <w:pPr>
        <w:tabs>
          <w:tab w:val="left" w:pos="225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3972E3" w:rsidRPr="00A3459D" w:rsidRDefault="00A8790A" w:rsidP="003225CF">
      <w:pPr>
        <w:pStyle w:val="ListParagraph"/>
        <w:numPr>
          <w:ilvl w:val="2"/>
          <w:numId w:val="1"/>
        </w:numPr>
        <w:tabs>
          <w:tab w:val="left" w:pos="2250"/>
          <w:tab w:val="left" w:pos="2340"/>
        </w:tabs>
        <w:autoSpaceDE w:val="0"/>
        <w:autoSpaceDN w:val="0"/>
        <w:adjustRightInd w:val="0"/>
        <w:spacing w:after="0" w:line="240" w:lineRule="auto"/>
        <w:ind w:hanging="450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Virginia is reporting postsecondary enrollment based on cohorts of graduates.  Students reported as graduating within four, </w:t>
      </w:r>
      <w:r w:rsidR="00157E8C" w:rsidRPr="00A3459D">
        <w:rPr>
          <w:rFonts w:asciiTheme="majorHAnsi" w:hAnsiTheme="majorHAnsi" w:cs="Calibri"/>
          <w:sz w:val="24"/>
          <w:szCs w:val="24"/>
        </w:rPr>
        <w:t>five</w:t>
      </w:r>
      <w:r w:rsidRPr="00A3459D">
        <w:rPr>
          <w:rFonts w:asciiTheme="majorHAnsi" w:hAnsiTheme="majorHAnsi" w:cs="Calibri"/>
          <w:sz w:val="24"/>
          <w:szCs w:val="24"/>
        </w:rPr>
        <w:t xml:space="preserve"> and six years of first entering ninth grade are included in the postsecondary enrollment reports.  </w:t>
      </w:r>
    </w:p>
    <w:p w:rsidR="00FC3B4A" w:rsidRPr="00A3459D" w:rsidRDefault="00FC3B4A" w:rsidP="00FD0C4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FC3B4A" w:rsidRDefault="00FC3B4A" w:rsidP="00A8790A">
      <w:pPr>
        <w:pStyle w:val="ListParagraph"/>
        <w:keepNext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lastRenderedPageBreak/>
        <w:t xml:space="preserve">How did </w:t>
      </w:r>
      <w:r w:rsidR="00450F1C" w:rsidRPr="00A3459D">
        <w:rPr>
          <w:rFonts w:asciiTheme="majorHAnsi" w:hAnsiTheme="majorHAnsi" w:cs="Calibri"/>
          <w:sz w:val="24"/>
          <w:szCs w:val="24"/>
        </w:rPr>
        <w:t xml:space="preserve">VDOE </w:t>
      </w:r>
      <w:r w:rsidR="003225CF" w:rsidRPr="00A3459D">
        <w:rPr>
          <w:rFonts w:asciiTheme="majorHAnsi" w:hAnsiTheme="majorHAnsi" w:cs="Calibri"/>
          <w:sz w:val="24"/>
          <w:szCs w:val="24"/>
        </w:rPr>
        <w:t xml:space="preserve">acquire </w:t>
      </w:r>
      <w:r w:rsidR="00450F1C" w:rsidRPr="00A3459D">
        <w:rPr>
          <w:rFonts w:asciiTheme="majorHAnsi" w:hAnsiTheme="majorHAnsi" w:cs="Calibri"/>
          <w:sz w:val="24"/>
          <w:szCs w:val="24"/>
        </w:rPr>
        <w:t xml:space="preserve">data to </w:t>
      </w:r>
      <w:r w:rsidR="00DA047B" w:rsidRPr="00A3459D">
        <w:rPr>
          <w:rFonts w:asciiTheme="majorHAnsi" w:hAnsiTheme="majorHAnsi" w:cs="Calibri"/>
          <w:sz w:val="24"/>
          <w:szCs w:val="24"/>
        </w:rPr>
        <w:t>p</w:t>
      </w:r>
      <w:r w:rsidR="003225CF" w:rsidRPr="00A3459D">
        <w:rPr>
          <w:rFonts w:asciiTheme="majorHAnsi" w:hAnsiTheme="majorHAnsi" w:cs="Calibri"/>
          <w:sz w:val="24"/>
          <w:szCs w:val="24"/>
        </w:rPr>
        <w:t>roduce postsecondary enrollment reports</w:t>
      </w:r>
      <w:r w:rsidRPr="00A3459D">
        <w:rPr>
          <w:rFonts w:asciiTheme="majorHAnsi" w:hAnsiTheme="majorHAnsi" w:cs="Calibri"/>
          <w:sz w:val="24"/>
          <w:szCs w:val="24"/>
        </w:rPr>
        <w:t>?</w:t>
      </w:r>
    </w:p>
    <w:p w:rsidR="00FD0C48" w:rsidRPr="00520E85" w:rsidRDefault="00FD0C48" w:rsidP="00FD0C48">
      <w:pPr>
        <w:keepNext/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FC3B4A" w:rsidRPr="00A3459D" w:rsidRDefault="00450F1C" w:rsidP="00FC3B4A">
      <w:pPr>
        <w:pStyle w:val="ListParagraph"/>
        <w:numPr>
          <w:ilvl w:val="1"/>
          <w:numId w:val="1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VDOE has entered into </w:t>
      </w:r>
      <w:r w:rsidR="003225CF" w:rsidRPr="00A3459D">
        <w:rPr>
          <w:rFonts w:asciiTheme="majorHAnsi" w:hAnsiTheme="majorHAnsi" w:cs="Calibri"/>
          <w:sz w:val="24"/>
          <w:szCs w:val="24"/>
        </w:rPr>
        <w:t xml:space="preserve">a </w:t>
      </w:r>
      <w:r w:rsidR="003B2955" w:rsidRPr="00A3459D">
        <w:rPr>
          <w:rFonts w:asciiTheme="majorHAnsi" w:hAnsiTheme="majorHAnsi" w:cs="Calibri"/>
          <w:sz w:val="24"/>
          <w:szCs w:val="24"/>
        </w:rPr>
        <w:t>data-sharing agreement with the National Student Clearinghouse</w:t>
      </w:r>
      <w:r w:rsidR="002743A6" w:rsidRPr="00A3459D">
        <w:rPr>
          <w:rFonts w:asciiTheme="majorHAnsi" w:hAnsiTheme="majorHAnsi" w:cs="Calibri"/>
          <w:sz w:val="24"/>
          <w:szCs w:val="24"/>
        </w:rPr>
        <w:t xml:space="preserve"> (NSC)</w:t>
      </w:r>
      <w:r w:rsidR="00747C4E" w:rsidRPr="00A3459D">
        <w:rPr>
          <w:rFonts w:asciiTheme="majorHAnsi" w:hAnsiTheme="majorHAnsi" w:cs="Calibri"/>
          <w:sz w:val="24"/>
          <w:szCs w:val="24"/>
        </w:rPr>
        <w:t xml:space="preserve"> </w:t>
      </w:r>
      <w:r w:rsidR="003225CF" w:rsidRPr="00A3459D">
        <w:rPr>
          <w:rFonts w:asciiTheme="majorHAnsi" w:hAnsiTheme="majorHAnsi" w:cs="Calibri"/>
          <w:sz w:val="24"/>
          <w:szCs w:val="24"/>
        </w:rPr>
        <w:t xml:space="preserve">in order to produce the best available estimates of students’ </w:t>
      </w:r>
      <w:r w:rsidR="004C7B42" w:rsidRPr="00A3459D">
        <w:rPr>
          <w:rFonts w:asciiTheme="majorHAnsi" w:hAnsiTheme="majorHAnsi" w:cs="Calibri"/>
          <w:sz w:val="24"/>
          <w:szCs w:val="24"/>
        </w:rPr>
        <w:t xml:space="preserve">postsecondary </w:t>
      </w:r>
      <w:r w:rsidR="003B2955" w:rsidRPr="00A3459D">
        <w:rPr>
          <w:rFonts w:asciiTheme="majorHAnsi" w:hAnsiTheme="majorHAnsi" w:cs="Calibri"/>
          <w:sz w:val="24"/>
          <w:szCs w:val="24"/>
        </w:rPr>
        <w:t xml:space="preserve">enrollment </w:t>
      </w:r>
      <w:r w:rsidR="003225CF" w:rsidRPr="00A3459D">
        <w:rPr>
          <w:rFonts w:asciiTheme="majorHAnsi" w:hAnsiTheme="majorHAnsi" w:cs="Calibri"/>
          <w:sz w:val="24"/>
          <w:szCs w:val="24"/>
        </w:rPr>
        <w:t>outcomes</w:t>
      </w:r>
      <w:r w:rsidR="003B2955" w:rsidRPr="00A3459D">
        <w:rPr>
          <w:rFonts w:asciiTheme="majorHAnsi" w:hAnsiTheme="majorHAnsi" w:cs="Calibri"/>
          <w:sz w:val="24"/>
          <w:szCs w:val="24"/>
        </w:rPr>
        <w:t>.</w:t>
      </w:r>
    </w:p>
    <w:p w:rsidR="00147E7E" w:rsidRPr="00A3459D" w:rsidRDefault="00147E7E" w:rsidP="00520E8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3F4FB4" w:rsidRDefault="003F4FB4" w:rsidP="00737E8C">
      <w:pPr>
        <w:pStyle w:val="ListParagraph"/>
        <w:keepNext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What is the National Student Clearinghouse</w:t>
      </w:r>
      <w:r w:rsidR="003225CF" w:rsidRPr="00A3459D">
        <w:rPr>
          <w:rFonts w:asciiTheme="majorHAnsi" w:hAnsiTheme="majorHAnsi" w:cs="Calibri"/>
          <w:sz w:val="24"/>
          <w:szCs w:val="24"/>
        </w:rPr>
        <w:t xml:space="preserve"> (NSC)</w:t>
      </w:r>
      <w:r w:rsidRPr="00A3459D">
        <w:rPr>
          <w:rFonts w:asciiTheme="majorHAnsi" w:hAnsiTheme="majorHAnsi" w:cs="Calibri"/>
          <w:sz w:val="24"/>
          <w:szCs w:val="24"/>
        </w:rPr>
        <w:t>?</w:t>
      </w:r>
    </w:p>
    <w:p w:rsidR="00FD0C48" w:rsidRPr="00520E85" w:rsidRDefault="00FD0C48" w:rsidP="00FD0C48">
      <w:pPr>
        <w:keepNext/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FD0C48" w:rsidRDefault="003B2955" w:rsidP="003F4FB4">
      <w:pPr>
        <w:pStyle w:val="ListParagraph"/>
        <w:numPr>
          <w:ilvl w:val="1"/>
          <w:numId w:val="1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The </w:t>
      </w:r>
      <w:hyperlink r:id="rId8" w:history="1">
        <w:r w:rsidRPr="00A3459D">
          <w:rPr>
            <w:rStyle w:val="Hyperlink"/>
            <w:rFonts w:asciiTheme="majorHAnsi" w:hAnsiTheme="majorHAnsi" w:cs="Calibri"/>
            <w:sz w:val="24"/>
            <w:szCs w:val="24"/>
          </w:rPr>
          <w:t>National Student Clearinghouse</w:t>
        </w:r>
      </w:hyperlink>
      <w:r w:rsidRPr="00A3459D">
        <w:rPr>
          <w:rFonts w:asciiTheme="majorHAnsi" w:hAnsiTheme="majorHAnsi" w:cs="Calibri"/>
          <w:sz w:val="24"/>
          <w:szCs w:val="24"/>
        </w:rPr>
        <w:t xml:space="preserve"> </w:t>
      </w:r>
      <w:r w:rsidR="0086666A" w:rsidRPr="00A3459D">
        <w:rPr>
          <w:rFonts w:asciiTheme="majorHAnsi" w:hAnsiTheme="majorHAnsi" w:cs="Calibri"/>
          <w:sz w:val="24"/>
          <w:szCs w:val="24"/>
        </w:rPr>
        <w:t>is a no</w:t>
      </w:r>
      <w:r w:rsidR="00094BAB" w:rsidRPr="00A3459D">
        <w:rPr>
          <w:rFonts w:asciiTheme="majorHAnsi" w:hAnsiTheme="majorHAnsi" w:cs="Calibri"/>
          <w:sz w:val="24"/>
          <w:szCs w:val="24"/>
        </w:rPr>
        <w:t xml:space="preserve">nprofit organization with extensive </w:t>
      </w:r>
      <w:r w:rsidR="003F4FB4" w:rsidRPr="00A3459D">
        <w:rPr>
          <w:rFonts w:asciiTheme="majorHAnsi" w:hAnsiTheme="majorHAnsi" w:cs="Calibri"/>
          <w:sz w:val="24"/>
          <w:szCs w:val="24"/>
        </w:rPr>
        <w:t xml:space="preserve">experience </w:t>
      </w:r>
      <w:r w:rsidR="00094BAB" w:rsidRPr="00A3459D">
        <w:rPr>
          <w:rFonts w:asciiTheme="majorHAnsi" w:hAnsiTheme="majorHAnsi" w:cs="Calibri"/>
          <w:sz w:val="24"/>
          <w:szCs w:val="24"/>
        </w:rPr>
        <w:t>matching</w:t>
      </w:r>
      <w:r w:rsidR="0086666A" w:rsidRPr="00A3459D">
        <w:rPr>
          <w:rFonts w:asciiTheme="majorHAnsi" w:hAnsiTheme="majorHAnsi" w:cs="Calibri"/>
          <w:sz w:val="24"/>
          <w:szCs w:val="24"/>
        </w:rPr>
        <w:t xml:space="preserve"> c</w:t>
      </w:r>
      <w:r w:rsidR="003F4FB4" w:rsidRPr="00A3459D">
        <w:rPr>
          <w:rFonts w:asciiTheme="majorHAnsi" w:hAnsiTheme="majorHAnsi" w:cs="Calibri"/>
          <w:sz w:val="24"/>
          <w:szCs w:val="24"/>
        </w:rPr>
        <w:t xml:space="preserve">ollege enrollment data </w:t>
      </w:r>
      <w:r w:rsidR="00094BAB" w:rsidRPr="00A3459D">
        <w:rPr>
          <w:rFonts w:asciiTheme="majorHAnsi" w:hAnsiTheme="majorHAnsi" w:cs="Calibri"/>
          <w:sz w:val="24"/>
          <w:szCs w:val="24"/>
        </w:rPr>
        <w:t>with high school graduation data</w:t>
      </w:r>
      <w:r w:rsidR="0086666A" w:rsidRPr="00A3459D">
        <w:rPr>
          <w:rFonts w:asciiTheme="majorHAnsi" w:hAnsiTheme="majorHAnsi" w:cs="Calibri"/>
          <w:sz w:val="24"/>
          <w:szCs w:val="24"/>
        </w:rPr>
        <w:t>.</w:t>
      </w:r>
    </w:p>
    <w:p w:rsidR="00147E7E" w:rsidRPr="00E716ED" w:rsidRDefault="0086666A" w:rsidP="00FD0C4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  <w:r w:rsidRPr="00FD0C48">
        <w:rPr>
          <w:rFonts w:asciiTheme="majorHAnsi" w:hAnsiTheme="majorHAnsi" w:cs="Calibri"/>
          <w:sz w:val="24"/>
          <w:szCs w:val="24"/>
        </w:rPr>
        <w:t xml:space="preserve"> </w:t>
      </w:r>
    </w:p>
    <w:p w:rsidR="00FD0C48" w:rsidRDefault="00C76A04" w:rsidP="00FD0C48">
      <w:pPr>
        <w:pStyle w:val="ListParagraph"/>
        <w:numPr>
          <w:ilvl w:val="1"/>
          <w:numId w:val="1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For more than fifteen years, NSC has </w:t>
      </w:r>
      <w:r w:rsidR="003225CF" w:rsidRPr="00A3459D">
        <w:rPr>
          <w:rFonts w:asciiTheme="majorHAnsi" w:hAnsiTheme="majorHAnsi" w:cs="Calibri"/>
          <w:sz w:val="24"/>
          <w:szCs w:val="24"/>
        </w:rPr>
        <w:t>work</w:t>
      </w:r>
      <w:r w:rsidRPr="00A3459D">
        <w:rPr>
          <w:rFonts w:asciiTheme="majorHAnsi" w:hAnsiTheme="majorHAnsi" w:cs="Calibri"/>
          <w:sz w:val="24"/>
          <w:szCs w:val="24"/>
        </w:rPr>
        <w:t>ed</w:t>
      </w:r>
      <w:r w:rsidR="00FD0C48">
        <w:rPr>
          <w:rFonts w:asciiTheme="majorHAnsi" w:hAnsiTheme="majorHAnsi" w:cs="Calibri"/>
          <w:sz w:val="24"/>
          <w:szCs w:val="24"/>
        </w:rPr>
        <w:t xml:space="preserve"> with </w:t>
      </w:r>
      <w:r w:rsidR="00737E8C">
        <w:rPr>
          <w:rFonts w:asciiTheme="majorHAnsi" w:hAnsiTheme="majorHAnsi" w:cs="Calibri"/>
          <w:sz w:val="24"/>
          <w:szCs w:val="24"/>
        </w:rPr>
        <w:t>IHE</w:t>
      </w:r>
      <w:r w:rsidR="00A8790A" w:rsidRPr="00A3459D">
        <w:rPr>
          <w:rFonts w:asciiTheme="majorHAnsi" w:hAnsiTheme="majorHAnsi" w:cs="Calibri"/>
          <w:sz w:val="24"/>
          <w:szCs w:val="24"/>
        </w:rPr>
        <w:t xml:space="preserve"> to collect student </w:t>
      </w:r>
      <w:r w:rsidR="0040475A" w:rsidRPr="00A3459D">
        <w:rPr>
          <w:rFonts w:asciiTheme="majorHAnsi" w:hAnsiTheme="majorHAnsi" w:cs="Calibri"/>
          <w:sz w:val="24"/>
          <w:szCs w:val="24"/>
        </w:rPr>
        <w:t>enrol</w:t>
      </w:r>
      <w:r w:rsidRPr="00A3459D">
        <w:rPr>
          <w:rFonts w:asciiTheme="majorHAnsi" w:hAnsiTheme="majorHAnsi" w:cs="Calibri"/>
          <w:sz w:val="24"/>
          <w:szCs w:val="24"/>
        </w:rPr>
        <w:t xml:space="preserve">lment data </w:t>
      </w:r>
      <w:r w:rsidR="00A8790A" w:rsidRPr="00A3459D">
        <w:rPr>
          <w:rFonts w:asciiTheme="majorHAnsi" w:hAnsiTheme="majorHAnsi" w:cs="Calibri"/>
          <w:sz w:val="24"/>
          <w:szCs w:val="24"/>
        </w:rPr>
        <w:t>while</w:t>
      </w:r>
      <w:r w:rsidRPr="00A3459D">
        <w:rPr>
          <w:rFonts w:asciiTheme="majorHAnsi" w:hAnsiTheme="majorHAnsi" w:cs="Calibri"/>
          <w:sz w:val="24"/>
          <w:szCs w:val="24"/>
        </w:rPr>
        <w:t xml:space="preserve"> also</w:t>
      </w:r>
      <w:r w:rsidR="00A8790A" w:rsidRPr="00A3459D">
        <w:rPr>
          <w:rFonts w:asciiTheme="majorHAnsi" w:hAnsiTheme="majorHAnsi" w:cs="Calibri"/>
          <w:sz w:val="24"/>
          <w:szCs w:val="24"/>
        </w:rPr>
        <w:t xml:space="preserve"> maintaining the confidentiality and privacy of student records in full compliance with the Family Educational Rights and Privacy Act (FERPA).</w:t>
      </w:r>
    </w:p>
    <w:p w:rsidR="00FD0C48" w:rsidRPr="00E716ED" w:rsidRDefault="00FD0C48" w:rsidP="00FD0C4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3B2955" w:rsidRPr="00A3459D" w:rsidRDefault="00043228" w:rsidP="003F4FB4">
      <w:pPr>
        <w:pStyle w:val="ListParagraph"/>
        <w:numPr>
          <w:ilvl w:val="1"/>
          <w:numId w:val="1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C</w:t>
      </w:r>
      <w:r w:rsidR="0086666A" w:rsidRPr="00A3459D">
        <w:rPr>
          <w:rFonts w:asciiTheme="majorHAnsi" w:hAnsiTheme="majorHAnsi" w:cs="Calibri"/>
          <w:sz w:val="24"/>
          <w:szCs w:val="24"/>
        </w:rPr>
        <w:t>urrently</w:t>
      </w:r>
      <w:r w:rsidRPr="00A3459D">
        <w:rPr>
          <w:rFonts w:asciiTheme="majorHAnsi" w:hAnsiTheme="majorHAnsi" w:cs="Calibri"/>
          <w:sz w:val="24"/>
          <w:szCs w:val="24"/>
        </w:rPr>
        <w:t>, the National Student Clearinghouse</w:t>
      </w:r>
      <w:r w:rsidR="00A81D29" w:rsidRPr="00A3459D">
        <w:rPr>
          <w:rFonts w:asciiTheme="majorHAnsi" w:hAnsiTheme="majorHAnsi" w:cs="Calibri"/>
          <w:sz w:val="24"/>
          <w:szCs w:val="24"/>
        </w:rPr>
        <w:t xml:space="preserve">’s database contains student enrollment records provided to the Clearinghouse every 30-45 days by more than 3,300 participating postsecondary institutions, which enroll 93% of all U.S. higher education students. </w:t>
      </w:r>
    </w:p>
    <w:p w:rsidR="00043228" w:rsidRPr="00E716ED" w:rsidRDefault="00043228" w:rsidP="0028097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280975" w:rsidRDefault="00280975" w:rsidP="00043228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How does t</w:t>
      </w:r>
      <w:r w:rsidR="00C24D3A" w:rsidRPr="00A3459D">
        <w:rPr>
          <w:rFonts w:asciiTheme="majorHAnsi" w:hAnsiTheme="majorHAnsi" w:cs="Calibri"/>
          <w:sz w:val="24"/>
          <w:szCs w:val="24"/>
        </w:rPr>
        <w:t>he National Student Clearinghous</w:t>
      </w:r>
      <w:r w:rsidRPr="00A3459D">
        <w:rPr>
          <w:rFonts w:asciiTheme="majorHAnsi" w:hAnsiTheme="majorHAnsi" w:cs="Calibri"/>
          <w:sz w:val="24"/>
          <w:szCs w:val="24"/>
        </w:rPr>
        <w:t xml:space="preserve">e match data from </w:t>
      </w:r>
      <w:r w:rsidR="00450F1C" w:rsidRPr="00A3459D">
        <w:rPr>
          <w:rFonts w:asciiTheme="majorHAnsi" w:hAnsiTheme="majorHAnsi" w:cs="Calibri"/>
          <w:sz w:val="24"/>
          <w:szCs w:val="24"/>
        </w:rPr>
        <w:t>VDOE</w:t>
      </w:r>
      <w:r w:rsidR="00043228" w:rsidRPr="00A3459D">
        <w:rPr>
          <w:rFonts w:asciiTheme="majorHAnsi" w:hAnsiTheme="majorHAnsi" w:cs="Calibri"/>
          <w:sz w:val="24"/>
          <w:szCs w:val="24"/>
        </w:rPr>
        <w:t xml:space="preserve"> </w:t>
      </w:r>
      <w:r w:rsidR="00EF0498" w:rsidRPr="00A3459D">
        <w:rPr>
          <w:rFonts w:asciiTheme="majorHAnsi" w:hAnsiTheme="majorHAnsi" w:cs="Calibri"/>
          <w:sz w:val="24"/>
          <w:szCs w:val="24"/>
        </w:rPr>
        <w:t xml:space="preserve">with </w:t>
      </w:r>
      <w:r w:rsidR="001F41E7" w:rsidRPr="00A3459D">
        <w:rPr>
          <w:rFonts w:asciiTheme="majorHAnsi" w:hAnsiTheme="majorHAnsi" w:cs="Calibri"/>
          <w:sz w:val="24"/>
          <w:szCs w:val="24"/>
        </w:rPr>
        <w:t xml:space="preserve">postsecondary enrollment </w:t>
      </w:r>
      <w:r w:rsidR="00EF0498" w:rsidRPr="00A3459D">
        <w:rPr>
          <w:rFonts w:asciiTheme="majorHAnsi" w:hAnsiTheme="majorHAnsi" w:cs="Calibri"/>
          <w:sz w:val="24"/>
          <w:szCs w:val="24"/>
        </w:rPr>
        <w:t>d</w:t>
      </w:r>
      <w:r w:rsidR="001F41E7" w:rsidRPr="00A3459D">
        <w:rPr>
          <w:rFonts w:asciiTheme="majorHAnsi" w:hAnsiTheme="majorHAnsi" w:cs="Calibri"/>
          <w:sz w:val="24"/>
          <w:szCs w:val="24"/>
        </w:rPr>
        <w:t>ata</w:t>
      </w:r>
      <w:r w:rsidRPr="00A3459D">
        <w:rPr>
          <w:rFonts w:asciiTheme="majorHAnsi" w:hAnsiTheme="majorHAnsi" w:cs="Calibri"/>
          <w:sz w:val="24"/>
          <w:szCs w:val="24"/>
        </w:rPr>
        <w:t>?</w:t>
      </w:r>
    </w:p>
    <w:p w:rsidR="00FD0C48" w:rsidRPr="00520E85" w:rsidRDefault="00FD0C48" w:rsidP="00FD0C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BD07C1" w:rsidRPr="00A3459D" w:rsidRDefault="00280975" w:rsidP="00C24D3A">
      <w:pPr>
        <w:pStyle w:val="ListParagraph"/>
        <w:numPr>
          <w:ilvl w:val="1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The National Student Clearinghouse uses a proprietary algorithm (plus internal staff review) to</w:t>
      </w:r>
      <w:r w:rsidR="00C24D3A" w:rsidRPr="00A3459D">
        <w:rPr>
          <w:rFonts w:asciiTheme="majorHAnsi" w:hAnsiTheme="majorHAnsi" w:cs="Calibri"/>
          <w:sz w:val="24"/>
          <w:szCs w:val="24"/>
        </w:rPr>
        <w:t xml:space="preserve"> compare </w:t>
      </w:r>
      <w:r w:rsidR="00433FA5" w:rsidRPr="00A3459D">
        <w:rPr>
          <w:rFonts w:asciiTheme="majorHAnsi" w:hAnsiTheme="majorHAnsi" w:cs="Calibri"/>
          <w:sz w:val="24"/>
          <w:szCs w:val="24"/>
        </w:rPr>
        <w:t>records</w:t>
      </w:r>
      <w:r w:rsidR="00C76A04" w:rsidRPr="00A3459D">
        <w:rPr>
          <w:rFonts w:asciiTheme="majorHAnsi" w:hAnsiTheme="majorHAnsi" w:cs="Calibri"/>
          <w:sz w:val="24"/>
          <w:szCs w:val="24"/>
        </w:rPr>
        <w:t xml:space="preserve"> from VDOE</w:t>
      </w:r>
      <w:r w:rsidR="00433FA5" w:rsidRPr="00A3459D">
        <w:rPr>
          <w:rFonts w:asciiTheme="majorHAnsi" w:hAnsiTheme="majorHAnsi" w:cs="Calibri"/>
          <w:sz w:val="24"/>
          <w:szCs w:val="24"/>
        </w:rPr>
        <w:t xml:space="preserve"> against their national data</w:t>
      </w:r>
      <w:r w:rsidR="008C1A4C" w:rsidRPr="00A3459D">
        <w:rPr>
          <w:rFonts w:asciiTheme="majorHAnsi" w:hAnsiTheme="majorHAnsi" w:cs="Calibri"/>
          <w:sz w:val="24"/>
          <w:szCs w:val="24"/>
        </w:rPr>
        <w:t>base</w:t>
      </w:r>
      <w:r w:rsidR="0040475A" w:rsidRPr="00A3459D">
        <w:rPr>
          <w:rFonts w:asciiTheme="majorHAnsi" w:hAnsiTheme="majorHAnsi" w:cs="Calibri"/>
          <w:sz w:val="24"/>
          <w:szCs w:val="24"/>
        </w:rPr>
        <w:t xml:space="preserve"> of student-level postsecondary enrollment records</w:t>
      </w:r>
      <w:r w:rsidR="00043228" w:rsidRPr="00A3459D">
        <w:rPr>
          <w:rFonts w:asciiTheme="majorHAnsi" w:hAnsiTheme="majorHAnsi" w:cs="Calibri"/>
          <w:sz w:val="24"/>
          <w:szCs w:val="24"/>
        </w:rPr>
        <w:t xml:space="preserve">. </w:t>
      </w:r>
    </w:p>
    <w:p w:rsidR="00C24D3A" w:rsidRPr="00A3459D" w:rsidRDefault="00C24D3A" w:rsidP="00C24D3A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Calibri"/>
          <w:sz w:val="24"/>
          <w:szCs w:val="24"/>
        </w:rPr>
      </w:pPr>
    </w:p>
    <w:p w:rsidR="00081903" w:rsidRDefault="006F4EED" w:rsidP="00C24D3A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Are the data </w:t>
      </w:r>
      <w:r w:rsidR="00F508B4" w:rsidRPr="00A3459D">
        <w:rPr>
          <w:rFonts w:asciiTheme="majorHAnsi" w:hAnsiTheme="majorHAnsi" w:cs="Calibri"/>
          <w:sz w:val="24"/>
          <w:szCs w:val="24"/>
        </w:rPr>
        <w:t xml:space="preserve">accurate </w:t>
      </w:r>
      <w:r w:rsidR="00005A2B" w:rsidRPr="00A3459D">
        <w:rPr>
          <w:rFonts w:asciiTheme="majorHAnsi" w:hAnsiTheme="majorHAnsi" w:cs="Calibri"/>
          <w:sz w:val="24"/>
          <w:szCs w:val="24"/>
        </w:rPr>
        <w:t>counts and percentages of Virginia graduates</w:t>
      </w:r>
      <w:r w:rsidR="00270302" w:rsidRPr="00A3459D">
        <w:rPr>
          <w:rFonts w:asciiTheme="majorHAnsi" w:hAnsiTheme="majorHAnsi" w:cs="Calibri"/>
          <w:sz w:val="24"/>
          <w:szCs w:val="24"/>
        </w:rPr>
        <w:t>’</w:t>
      </w:r>
      <w:r w:rsidR="00005A2B" w:rsidRPr="00A3459D">
        <w:rPr>
          <w:rFonts w:asciiTheme="majorHAnsi" w:hAnsiTheme="majorHAnsi" w:cs="Calibri"/>
          <w:sz w:val="24"/>
          <w:szCs w:val="24"/>
        </w:rPr>
        <w:t xml:space="preserve"> </w:t>
      </w:r>
      <w:r w:rsidR="00F508B4" w:rsidRPr="00A3459D">
        <w:rPr>
          <w:rFonts w:asciiTheme="majorHAnsi" w:hAnsiTheme="majorHAnsi" w:cs="Calibri"/>
          <w:sz w:val="24"/>
          <w:szCs w:val="24"/>
        </w:rPr>
        <w:t>postsecondary enrollment</w:t>
      </w:r>
      <w:r w:rsidR="003225CF" w:rsidRPr="00A3459D">
        <w:rPr>
          <w:rFonts w:asciiTheme="majorHAnsi" w:hAnsiTheme="majorHAnsi" w:cs="Calibri"/>
          <w:sz w:val="24"/>
          <w:szCs w:val="24"/>
        </w:rPr>
        <w:t xml:space="preserve"> outcomes in Institutions of Higher Education nationwide</w:t>
      </w:r>
      <w:r w:rsidR="00005A2B" w:rsidRPr="00A3459D">
        <w:rPr>
          <w:rFonts w:asciiTheme="majorHAnsi" w:hAnsiTheme="majorHAnsi" w:cs="Calibri"/>
          <w:sz w:val="24"/>
          <w:szCs w:val="24"/>
        </w:rPr>
        <w:t xml:space="preserve">? </w:t>
      </w:r>
    </w:p>
    <w:p w:rsidR="00FD0C48" w:rsidRPr="00520E85" w:rsidRDefault="00FD0C48" w:rsidP="00FD0C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6F4EED" w:rsidRDefault="006F4EED" w:rsidP="00C24D3A">
      <w:pPr>
        <w:pStyle w:val="ListParagraph"/>
        <w:numPr>
          <w:ilvl w:val="1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The data represent the best available estimates at this time.  There is currently no definitive source of all postsecondary enrollment</w:t>
      </w:r>
      <w:r w:rsidR="00AD3364" w:rsidRPr="00A3459D">
        <w:rPr>
          <w:rFonts w:asciiTheme="majorHAnsi" w:hAnsiTheme="majorHAnsi" w:cs="Calibri"/>
          <w:sz w:val="24"/>
          <w:szCs w:val="24"/>
        </w:rPr>
        <w:t xml:space="preserve"> records </w:t>
      </w:r>
      <w:r w:rsidR="00450F1C" w:rsidRPr="00A3459D">
        <w:rPr>
          <w:rFonts w:asciiTheme="majorHAnsi" w:hAnsiTheme="majorHAnsi" w:cs="Calibri"/>
          <w:sz w:val="24"/>
          <w:szCs w:val="24"/>
        </w:rPr>
        <w:t xml:space="preserve">by </w:t>
      </w:r>
      <w:r w:rsidR="00FD0C48">
        <w:rPr>
          <w:rFonts w:asciiTheme="majorHAnsi" w:hAnsiTheme="majorHAnsi" w:cs="Calibri"/>
          <w:sz w:val="24"/>
          <w:szCs w:val="24"/>
        </w:rPr>
        <w:t xml:space="preserve">state, </w:t>
      </w:r>
      <w:r w:rsidR="00450F1C" w:rsidRPr="00A3459D">
        <w:rPr>
          <w:rFonts w:asciiTheme="majorHAnsi" w:hAnsiTheme="majorHAnsi" w:cs="Calibri"/>
          <w:sz w:val="24"/>
          <w:szCs w:val="24"/>
        </w:rPr>
        <w:t>school</w:t>
      </w:r>
      <w:r w:rsidR="00FD0C48">
        <w:rPr>
          <w:rFonts w:asciiTheme="majorHAnsi" w:hAnsiTheme="majorHAnsi" w:cs="Calibri"/>
          <w:sz w:val="24"/>
          <w:szCs w:val="24"/>
        </w:rPr>
        <w:t xml:space="preserve"> division</w:t>
      </w:r>
      <w:r w:rsidR="00450F1C" w:rsidRPr="00A3459D">
        <w:rPr>
          <w:rFonts w:asciiTheme="majorHAnsi" w:hAnsiTheme="majorHAnsi" w:cs="Calibri"/>
          <w:sz w:val="24"/>
          <w:szCs w:val="24"/>
        </w:rPr>
        <w:t xml:space="preserve"> or </w:t>
      </w:r>
      <w:r w:rsidR="00FD0C48">
        <w:rPr>
          <w:rFonts w:asciiTheme="majorHAnsi" w:hAnsiTheme="majorHAnsi" w:cs="Calibri"/>
          <w:sz w:val="24"/>
          <w:szCs w:val="24"/>
        </w:rPr>
        <w:t>school</w:t>
      </w:r>
      <w:r w:rsidRPr="00A3459D">
        <w:rPr>
          <w:rFonts w:asciiTheme="majorHAnsi" w:hAnsiTheme="majorHAnsi" w:cs="Calibri"/>
          <w:sz w:val="24"/>
          <w:szCs w:val="24"/>
        </w:rPr>
        <w:t>.</w:t>
      </w:r>
    </w:p>
    <w:p w:rsidR="00FD0C48" w:rsidRPr="00FD0C48" w:rsidRDefault="00FD0C48" w:rsidP="00FD0C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716ED" w:rsidRDefault="006F4EED" w:rsidP="00C24D3A">
      <w:pPr>
        <w:pStyle w:val="ListParagraph"/>
        <w:numPr>
          <w:ilvl w:val="1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VDOE and external researchers have determined that the best available estimates </w:t>
      </w:r>
      <w:r w:rsidR="00C76A04" w:rsidRPr="00A3459D">
        <w:rPr>
          <w:rFonts w:asciiTheme="majorHAnsi" w:hAnsiTheme="majorHAnsi" w:cs="Calibri"/>
          <w:sz w:val="24"/>
          <w:szCs w:val="24"/>
        </w:rPr>
        <w:t xml:space="preserve">contained in the postsecondary enrollment reports </w:t>
      </w:r>
      <w:r w:rsidRPr="00A3459D">
        <w:rPr>
          <w:rFonts w:asciiTheme="majorHAnsi" w:hAnsiTheme="majorHAnsi" w:cs="Calibri"/>
          <w:sz w:val="24"/>
          <w:szCs w:val="24"/>
        </w:rPr>
        <w:t>are</w:t>
      </w:r>
      <w:r w:rsidR="00C76A04" w:rsidRPr="00A3459D">
        <w:rPr>
          <w:rFonts w:asciiTheme="majorHAnsi" w:hAnsiTheme="majorHAnsi" w:cs="Calibri"/>
          <w:sz w:val="24"/>
          <w:szCs w:val="24"/>
        </w:rPr>
        <w:t xml:space="preserve"> likely</w:t>
      </w:r>
      <w:r w:rsidRPr="00A3459D">
        <w:rPr>
          <w:rFonts w:asciiTheme="majorHAnsi" w:hAnsiTheme="majorHAnsi" w:cs="Calibri"/>
          <w:sz w:val="24"/>
          <w:szCs w:val="24"/>
        </w:rPr>
        <w:t xml:space="preserve"> underestimates</w:t>
      </w:r>
      <w:r w:rsidR="003225CF" w:rsidRPr="00A3459D">
        <w:rPr>
          <w:rFonts w:asciiTheme="majorHAnsi" w:hAnsiTheme="majorHAnsi" w:cs="Calibri"/>
          <w:sz w:val="24"/>
          <w:szCs w:val="24"/>
        </w:rPr>
        <w:t xml:space="preserve"> of the actual number of students who meet these requirements</w:t>
      </w:r>
      <w:r w:rsidR="00DD6D7D">
        <w:rPr>
          <w:rFonts w:asciiTheme="majorHAnsi" w:hAnsiTheme="majorHAnsi" w:cs="Calibri"/>
          <w:sz w:val="24"/>
          <w:szCs w:val="24"/>
        </w:rPr>
        <w:t>, but capture at least 88 percent of Virginia’s public high school graduates’ postsecondary enrollments (see Holian &amp; Moker, 2011</w:t>
      </w:r>
      <w:r w:rsidR="00DD6D7D">
        <w:rPr>
          <w:rStyle w:val="FootnoteReference"/>
          <w:rFonts w:asciiTheme="majorHAnsi" w:hAnsiTheme="majorHAnsi" w:cs="Calibri"/>
          <w:sz w:val="24"/>
          <w:szCs w:val="24"/>
        </w:rPr>
        <w:footnoteReference w:id="1"/>
      </w:r>
      <w:r w:rsidR="00DD6D7D">
        <w:rPr>
          <w:rFonts w:asciiTheme="majorHAnsi" w:hAnsiTheme="majorHAnsi" w:cs="Calibri"/>
          <w:sz w:val="24"/>
          <w:szCs w:val="24"/>
        </w:rPr>
        <w:t>)</w:t>
      </w:r>
      <w:r w:rsidR="00450F1C" w:rsidRPr="00A3459D">
        <w:rPr>
          <w:rFonts w:asciiTheme="majorHAnsi" w:hAnsiTheme="majorHAnsi" w:cs="Calibri"/>
          <w:sz w:val="24"/>
          <w:szCs w:val="24"/>
        </w:rPr>
        <w:t xml:space="preserve">.  </w:t>
      </w:r>
    </w:p>
    <w:p w:rsidR="00E716ED" w:rsidRPr="00E716ED" w:rsidRDefault="00E716ED" w:rsidP="00E716ED">
      <w:pPr>
        <w:pStyle w:val="ListParagraph"/>
        <w:rPr>
          <w:rFonts w:asciiTheme="majorHAnsi" w:hAnsiTheme="majorHAnsi" w:cs="Calibri"/>
          <w:sz w:val="24"/>
          <w:szCs w:val="24"/>
        </w:rPr>
      </w:pPr>
    </w:p>
    <w:p w:rsidR="00005A2B" w:rsidRDefault="00E716ED" w:rsidP="00E716ED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What are some of the </w:t>
      </w:r>
      <w:r w:rsidR="00813A3D" w:rsidRPr="00A3459D">
        <w:rPr>
          <w:rFonts w:asciiTheme="majorHAnsi" w:hAnsiTheme="majorHAnsi" w:cs="Calibri"/>
          <w:sz w:val="24"/>
          <w:szCs w:val="24"/>
        </w:rPr>
        <w:t>reasons for the underestimates</w:t>
      </w:r>
      <w:r>
        <w:rPr>
          <w:rFonts w:asciiTheme="majorHAnsi" w:hAnsiTheme="majorHAnsi" w:cs="Calibri"/>
          <w:sz w:val="24"/>
          <w:szCs w:val="24"/>
        </w:rPr>
        <w:t xml:space="preserve"> in the postsecondary enrollment reports?</w:t>
      </w:r>
    </w:p>
    <w:p w:rsidR="00E716ED" w:rsidRDefault="00E716ED" w:rsidP="00E716ED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sz w:val="24"/>
          <w:szCs w:val="24"/>
        </w:rPr>
      </w:pPr>
    </w:p>
    <w:p w:rsidR="00F508B4" w:rsidRDefault="00005A2B" w:rsidP="00E716ED">
      <w:pPr>
        <w:pStyle w:val="ListParagraph"/>
        <w:numPr>
          <w:ilvl w:val="1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E716ED">
        <w:rPr>
          <w:rFonts w:asciiTheme="majorHAnsi" w:hAnsiTheme="majorHAnsi" w:cs="Calibri"/>
          <w:sz w:val="24"/>
          <w:szCs w:val="24"/>
        </w:rPr>
        <w:t>Some postsecondary institutions</w:t>
      </w:r>
      <w:r w:rsidR="00270302" w:rsidRPr="00E716ED">
        <w:rPr>
          <w:rFonts w:asciiTheme="majorHAnsi" w:hAnsiTheme="majorHAnsi" w:cs="Calibri"/>
          <w:sz w:val="24"/>
          <w:szCs w:val="24"/>
        </w:rPr>
        <w:t xml:space="preserve"> </w:t>
      </w:r>
      <w:r w:rsidRPr="00E716ED">
        <w:rPr>
          <w:rFonts w:asciiTheme="majorHAnsi" w:hAnsiTheme="majorHAnsi" w:cs="Calibri"/>
          <w:sz w:val="24"/>
          <w:szCs w:val="24"/>
        </w:rPr>
        <w:t xml:space="preserve">do not participate in the National Student Clearinghouse. </w:t>
      </w:r>
      <w:r w:rsidR="00383319" w:rsidRPr="00E716ED">
        <w:rPr>
          <w:rFonts w:asciiTheme="majorHAnsi" w:hAnsiTheme="majorHAnsi" w:cs="Calibri"/>
          <w:sz w:val="24"/>
          <w:szCs w:val="24"/>
        </w:rPr>
        <w:t>As a result, Virginia graduates who attend</w:t>
      </w:r>
      <w:r w:rsidR="00270302" w:rsidRPr="00E716ED">
        <w:rPr>
          <w:rFonts w:asciiTheme="majorHAnsi" w:hAnsiTheme="majorHAnsi" w:cs="Calibri"/>
          <w:sz w:val="24"/>
          <w:szCs w:val="24"/>
        </w:rPr>
        <w:t>ed</w:t>
      </w:r>
      <w:r w:rsidR="00383319" w:rsidRPr="00E716ED">
        <w:rPr>
          <w:rFonts w:asciiTheme="majorHAnsi" w:hAnsiTheme="majorHAnsi" w:cs="Calibri"/>
          <w:sz w:val="24"/>
          <w:szCs w:val="24"/>
        </w:rPr>
        <w:t xml:space="preserve"> these</w:t>
      </w:r>
      <w:r w:rsidR="00AD3364" w:rsidRPr="00E716ED">
        <w:rPr>
          <w:rFonts w:asciiTheme="majorHAnsi" w:hAnsiTheme="majorHAnsi" w:cs="Calibri"/>
          <w:sz w:val="24"/>
          <w:szCs w:val="24"/>
        </w:rPr>
        <w:t xml:space="preserve"> postsecondary</w:t>
      </w:r>
      <w:r w:rsidRPr="00E716ED">
        <w:rPr>
          <w:rFonts w:asciiTheme="majorHAnsi" w:hAnsiTheme="majorHAnsi" w:cs="Calibri"/>
          <w:sz w:val="24"/>
          <w:szCs w:val="24"/>
        </w:rPr>
        <w:t xml:space="preserve"> institutions </w:t>
      </w:r>
      <w:r w:rsidR="006F4EED" w:rsidRPr="00E716ED">
        <w:rPr>
          <w:rFonts w:asciiTheme="majorHAnsi" w:hAnsiTheme="majorHAnsi" w:cs="Calibri"/>
          <w:sz w:val="24"/>
          <w:szCs w:val="24"/>
        </w:rPr>
        <w:t xml:space="preserve">cannot be identified as </w:t>
      </w:r>
      <w:r w:rsidR="00C97671" w:rsidRPr="00E716ED">
        <w:rPr>
          <w:rFonts w:asciiTheme="majorHAnsi" w:hAnsiTheme="majorHAnsi" w:cs="Calibri"/>
          <w:sz w:val="24"/>
          <w:szCs w:val="24"/>
        </w:rPr>
        <w:t xml:space="preserve">enrolling in </w:t>
      </w:r>
      <w:r w:rsidR="003225CF" w:rsidRPr="00E716ED">
        <w:rPr>
          <w:rFonts w:asciiTheme="majorHAnsi" w:hAnsiTheme="majorHAnsi" w:cs="Calibri"/>
          <w:sz w:val="24"/>
          <w:szCs w:val="24"/>
        </w:rPr>
        <w:t xml:space="preserve">an </w:t>
      </w:r>
      <w:r w:rsidR="006F4EED" w:rsidRPr="00E716ED">
        <w:rPr>
          <w:rFonts w:asciiTheme="majorHAnsi" w:hAnsiTheme="majorHAnsi" w:cs="Calibri"/>
          <w:sz w:val="24"/>
          <w:szCs w:val="24"/>
        </w:rPr>
        <w:t>IHE</w:t>
      </w:r>
      <w:r w:rsidR="00F508B4" w:rsidRPr="00E716ED">
        <w:rPr>
          <w:rFonts w:asciiTheme="majorHAnsi" w:hAnsiTheme="majorHAnsi" w:cs="Calibri"/>
          <w:sz w:val="24"/>
          <w:szCs w:val="24"/>
        </w:rPr>
        <w:t>.</w:t>
      </w:r>
      <w:r w:rsidR="003225CF" w:rsidRPr="00E716ED">
        <w:rPr>
          <w:rFonts w:asciiTheme="majorHAnsi" w:hAnsiTheme="majorHAnsi" w:cs="Calibri"/>
          <w:sz w:val="24"/>
          <w:szCs w:val="24"/>
        </w:rPr>
        <w:t xml:space="preserve">  All but four Virginia </w:t>
      </w:r>
      <w:r w:rsidR="00DD6D7D" w:rsidRPr="00E716ED">
        <w:rPr>
          <w:rFonts w:asciiTheme="majorHAnsi" w:hAnsiTheme="majorHAnsi" w:cs="Calibri"/>
          <w:sz w:val="24"/>
          <w:szCs w:val="24"/>
        </w:rPr>
        <w:t>IHE</w:t>
      </w:r>
      <w:r w:rsidR="00AD3364" w:rsidRPr="00E716ED">
        <w:rPr>
          <w:rFonts w:asciiTheme="majorHAnsi" w:hAnsiTheme="majorHAnsi" w:cs="Calibri"/>
          <w:sz w:val="24"/>
          <w:szCs w:val="24"/>
        </w:rPr>
        <w:t xml:space="preserve"> participate in services offered by the National Student Clearinghouse</w:t>
      </w:r>
      <w:r w:rsidR="00450F1C" w:rsidRPr="00E716ED">
        <w:rPr>
          <w:rFonts w:asciiTheme="majorHAnsi" w:hAnsiTheme="majorHAnsi" w:cs="Calibri"/>
          <w:sz w:val="24"/>
          <w:szCs w:val="24"/>
        </w:rPr>
        <w:t>.</w:t>
      </w:r>
    </w:p>
    <w:p w:rsidR="00E716ED" w:rsidRPr="00E716ED" w:rsidRDefault="00E716ED" w:rsidP="00E716E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FD0C48" w:rsidRDefault="00F508B4" w:rsidP="00E716ED">
      <w:pPr>
        <w:pStyle w:val="ListParagraph"/>
        <w:numPr>
          <w:ilvl w:val="1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E716ED">
        <w:rPr>
          <w:rFonts w:asciiTheme="majorHAnsi" w:hAnsiTheme="majorHAnsi" w:cs="Calibri"/>
          <w:sz w:val="24"/>
          <w:szCs w:val="24"/>
        </w:rPr>
        <w:t xml:space="preserve">The National Student Clearinghouse </w:t>
      </w:r>
      <w:r w:rsidR="00383319" w:rsidRPr="00E716ED">
        <w:rPr>
          <w:rFonts w:asciiTheme="majorHAnsi" w:hAnsiTheme="majorHAnsi" w:cs="Calibri"/>
          <w:sz w:val="24"/>
          <w:szCs w:val="24"/>
        </w:rPr>
        <w:t>uses a</w:t>
      </w:r>
      <w:r w:rsidR="00450F1C" w:rsidRPr="00E716ED">
        <w:rPr>
          <w:rFonts w:asciiTheme="majorHAnsi" w:hAnsiTheme="majorHAnsi" w:cs="Calibri"/>
          <w:sz w:val="24"/>
          <w:szCs w:val="24"/>
        </w:rPr>
        <w:t>n</w:t>
      </w:r>
      <w:r w:rsidR="00383319" w:rsidRPr="00E716ED">
        <w:rPr>
          <w:rFonts w:asciiTheme="majorHAnsi" w:hAnsiTheme="majorHAnsi" w:cs="Calibri"/>
          <w:sz w:val="24"/>
          <w:szCs w:val="24"/>
        </w:rPr>
        <w:t xml:space="preserve"> </w:t>
      </w:r>
      <w:r w:rsidR="005203B8" w:rsidRPr="00E716ED">
        <w:rPr>
          <w:rFonts w:asciiTheme="majorHAnsi" w:hAnsiTheme="majorHAnsi" w:cs="Calibri"/>
          <w:sz w:val="24"/>
          <w:szCs w:val="24"/>
        </w:rPr>
        <w:t xml:space="preserve">algorithm </w:t>
      </w:r>
      <w:r w:rsidR="0047398A" w:rsidRPr="00E716ED">
        <w:rPr>
          <w:rFonts w:asciiTheme="majorHAnsi" w:hAnsiTheme="majorHAnsi" w:cs="Calibri"/>
          <w:sz w:val="24"/>
          <w:szCs w:val="24"/>
        </w:rPr>
        <w:t xml:space="preserve">(and internal staff review) </w:t>
      </w:r>
      <w:r w:rsidRPr="00E716ED">
        <w:rPr>
          <w:rFonts w:asciiTheme="majorHAnsi" w:hAnsiTheme="majorHAnsi" w:cs="Calibri"/>
          <w:sz w:val="24"/>
          <w:szCs w:val="24"/>
        </w:rPr>
        <w:t xml:space="preserve">to </w:t>
      </w:r>
      <w:r w:rsidR="00450F1C" w:rsidRPr="00E716ED">
        <w:rPr>
          <w:rFonts w:asciiTheme="majorHAnsi" w:hAnsiTheme="majorHAnsi" w:cs="Calibri"/>
          <w:sz w:val="24"/>
          <w:szCs w:val="24"/>
        </w:rPr>
        <w:t xml:space="preserve">match </w:t>
      </w:r>
      <w:r w:rsidRPr="00E716ED">
        <w:rPr>
          <w:rFonts w:asciiTheme="majorHAnsi" w:hAnsiTheme="majorHAnsi" w:cs="Calibri"/>
          <w:sz w:val="24"/>
          <w:szCs w:val="24"/>
        </w:rPr>
        <w:t xml:space="preserve">students from </w:t>
      </w:r>
      <w:r w:rsidR="00450F1C" w:rsidRPr="00E716ED">
        <w:rPr>
          <w:rFonts w:asciiTheme="majorHAnsi" w:hAnsiTheme="majorHAnsi" w:cs="Calibri"/>
          <w:sz w:val="24"/>
          <w:szCs w:val="24"/>
        </w:rPr>
        <w:t>VDOE</w:t>
      </w:r>
      <w:r w:rsidR="00C97671" w:rsidRPr="00E716ED">
        <w:rPr>
          <w:rFonts w:asciiTheme="majorHAnsi" w:hAnsiTheme="majorHAnsi" w:cs="Calibri"/>
          <w:sz w:val="24"/>
          <w:szCs w:val="24"/>
        </w:rPr>
        <w:t xml:space="preserve"> to </w:t>
      </w:r>
      <w:r w:rsidR="00450F1C" w:rsidRPr="00E716ED">
        <w:rPr>
          <w:rFonts w:asciiTheme="majorHAnsi" w:hAnsiTheme="majorHAnsi" w:cs="Calibri"/>
          <w:sz w:val="24"/>
          <w:szCs w:val="24"/>
        </w:rPr>
        <w:t xml:space="preserve">students in </w:t>
      </w:r>
      <w:r w:rsidR="008C1A4C" w:rsidRPr="00E716ED">
        <w:rPr>
          <w:rFonts w:asciiTheme="majorHAnsi" w:hAnsiTheme="majorHAnsi" w:cs="Calibri"/>
          <w:sz w:val="24"/>
          <w:szCs w:val="24"/>
        </w:rPr>
        <w:t>their database</w:t>
      </w:r>
      <w:r w:rsidR="00147E7E" w:rsidRPr="00E716ED">
        <w:rPr>
          <w:rFonts w:asciiTheme="majorHAnsi" w:hAnsiTheme="majorHAnsi" w:cs="Calibri"/>
          <w:sz w:val="24"/>
          <w:szCs w:val="24"/>
        </w:rPr>
        <w:t xml:space="preserve">.  </w:t>
      </w:r>
      <w:r w:rsidR="0047398A" w:rsidRPr="00E716ED">
        <w:rPr>
          <w:rFonts w:asciiTheme="majorHAnsi" w:hAnsiTheme="majorHAnsi" w:cs="Calibri"/>
          <w:sz w:val="24"/>
          <w:szCs w:val="24"/>
        </w:rPr>
        <w:t xml:space="preserve">The quality of the match rate </w:t>
      </w:r>
      <w:r w:rsidR="001961A7" w:rsidRPr="00E716ED">
        <w:rPr>
          <w:rFonts w:asciiTheme="majorHAnsi" w:hAnsiTheme="majorHAnsi" w:cs="Calibri"/>
          <w:sz w:val="24"/>
          <w:szCs w:val="24"/>
        </w:rPr>
        <w:t xml:space="preserve">often </w:t>
      </w:r>
      <w:r w:rsidR="0047398A" w:rsidRPr="00E716ED">
        <w:rPr>
          <w:rFonts w:asciiTheme="majorHAnsi" w:hAnsiTheme="majorHAnsi" w:cs="Calibri"/>
          <w:sz w:val="24"/>
          <w:szCs w:val="24"/>
        </w:rPr>
        <w:t xml:space="preserve">depends upon the quality of data submitted by VDOE and the quality of data submitted to NSC by </w:t>
      </w:r>
      <w:r w:rsidR="001961A7" w:rsidRPr="00E716ED">
        <w:rPr>
          <w:rFonts w:asciiTheme="majorHAnsi" w:hAnsiTheme="majorHAnsi" w:cs="Calibri"/>
          <w:sz w:val="24"/>
          <w:szCs w:val="24"/>
        </w:rPr>
        <w:t xml:space="preserve">the </w:t>
      </w:r>
      <w:r w:rsidR="0047398A" w:rsidRPr="00E716ED">
        <w:rPr>
          <w:rFonts w:asciiTheme="majorHAnsi" w:hAnsiTheme="majorHAnsi" w:cs="Calibri"/>
          <w:sz w:val="24"/>
          <w:szCs w:val="24"/>
        </w:rPr>
        <w:t xml:space="preserve">participating </w:t>
      </w:r>
      <w:r w:rsidR="00C76A04" w:rsidRPr="00E716ED">
        <w:rPr>
          <w:rFonts w:asciiTheme="majorHAnsi" w:hAnsiTheme="majorHAnsi" w:cs="Calibri"/>
          <w:sz w:val="24"/>
          <w:szCs w:val="24"/>
        </w:rPr>
        <w:t xml:space="preserve">postsecondary </w:t>
      </w:r>
      <w:r w:rsidR="0047398A" w:rsidRPr="00E716ED">
        <w:rPr>
          <w:rFonts w:asciiTheme="majorHAnsi" w:hAnsiTheme="majorHAnsi" w:cs="Calibri"/>
          <w:sz w:val="24"/>
          <w:szCs w:val="24"/>
        </w:rPr>
        <w:t xml:space="preserve">institutions.  </w:t>
      </w:r>
      <w:r w:rsidR="001961A7" w:rsidRPr="00E716ED">
        <w:rPr>
          <w:rFonts w:asciiTheme="majorHAnsi" w:hAnsiTheme="majorHAnsi" w:cs="Calibri"/>
          <w:sz w:val="24"/>
          <w:szCs w:val="24"/>
        </w:rPr>
        <w:t>In some cases due to data error, student</w:t>
      </w:r>
      <w:r w:rsidR="00DD6D7D" w:rsidRPr="00E716ED">
        <w:rPr>
          <w:rFonts w:asciiTheme="majorHAnsi" w:hAnsiTheme="majorHAnsi" w:cs="Calibri"/>
          <w:sz w:val="24"/>
          <w:szCs w:val="24"/>
        </w:rPr>
        <w:t>s’</w:t>
      </w:r>
      <w:r w:rsidR="001961A7" w:rsidRPr="00E716ED">
        <w:rPr>
          <w:rFonts w:asciiTheme="majorHAnsi" w:hAnsiTheme="majorHAnsi" w:cs="Calibri"/>
          <w:sz w:val="24"/>
          <w:szCs w:val="24"/>
        </w:rPr>
        <w:t xml:space="preserve"> </w:t>
      </w:r>
      <w:r w:rsidR="00DD6D7D" w:rsidRPr="00E716ED">
        <w:rPr>
          <w:rFonts w:asciiTheme="majorHAnsi" w:hAnsiTheme="majorHAnsi" w:cs="Calibri"/>
          <w:sz w:val="24"/>
          <w:szCs w:val="24"/>
        </w:rPr>
        <w:t xml:space="preserve">high school and postsecondary records are not matched and therefore students IHE attendance status could be </w:t>
      </w:r>
      <w:r w:rsidR="001961A7" w:rsidRPr="00E716ED">
        <w:rPr>
          <w:rFonts w:asciiTheme="majorHAnsi" w:hAnsiTheme="majorHAnsi" w:cs="Calibri"/>
          <w:sz w:val="24"/>
          <w:szCs w:val="24"/>
        </w:rPr>
        <w:t xml:space="preserve">misidentified. </w:t>
      </w:r>
    </w:p>
    <w:p w:rsidR="00E716ED" w:rsidRPr="00E716ED" w:rsidRDefault="00E716ED" w:rsidP="00E716ED">
      <w:pPr>
        <w:pStyle w:val="ListParagraph"/>
        <w:rPr>
          <w:rFonts w:asciiTheme="majorHAnsi" w:hAnsiTheme="majorHAnsi" w:cs="Calibri"/>
          <w:sz w:val="24"/>
          <w:szCs w:val="24"/>
        </w:rPr>
      </w:pPr>
    </w:p>
    <w:p w:rsidR="0040475A" w:rsidRPr="00E716ED" w:rsidRDefault="00DD6D7D" w:rsidP="00E716ED">
      <w:pPr>
        <w:pStyle w:val="ListParagraph"/>
        <w:numPr>
          <w:ilvl w:val="1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E716ED">
        <w:rPr>
          <w:rFonts w:asciiTheme="majorHAnsi" w:hAnsiTheme="majorHAnsi" w:cs="Calibri"/>
          <w:sz w:val="24"/>
          <w:szCs w:val="24"/>
        </w:rPr>
        <w:t xml:space="preserve">Under </w:t>
      </w:r>
      <w:r w:rsidR="005203B8" w:rsidRPr="00E716ED">
        <w:rPr>
          <w:rFonts w:asciiTheme="majorHAnsi" w:hAnsiTheme="majorHAnsi" w:cs="Calibri"/>
          <w:sz w:val="24"/>
          <w:szCs w:val="24"/>
        </w:rPr>
        <w:t>FERPA, student</w:t>
      </w:r>
      <w:r w:rsidRPr="00E716ED">
        <w:rPr>
          <w:rFonts w:asciiTheme="majorHAnsi" w:hAnsiTheme="majorHAnsi" w:cs="Calibri"/>
          <w:sz w:val="24"/>
          <w:szCs w:val="24"/>
        </w:rPr>
        <w:t>s</w:t>
      </w:r>
      <w:r w:rsidR="005203B8" w:rsidRPr="00E716ED">
        <w:rPr>
          <w:rFonts w:asciiTheme="majorHAnsi" w:hAnsiTheme="majorHAnsi" w:cs="Calibri"/>
          <w:sz w:val="24"/>
          <w:szCs w:val="24"/>
        </w:rPr>
        <w:t xml:space="preserve"> </w:t>
      </w:r>
      <w:r w:rsidRPr="00E716ED">
        <w:rPr>
          <w:rFonts w:asciiTheme="majorHAnsi" w:hAnsiTheme="majorHAnsi" w:cs="Calibri"/>
          <w:sz w:val="24"/>
          <w:szCs w:val="24"/>
        </w:rPr>
        <w:t xml:space="preserve">may </w:t>
      </w:r>
      <w:r w:rsidR="005203B8" w:rsidRPr="00E716ED">
        <w:rPr>
          <w:rFonts w:asciiTheme="majorHAnsi" w:hAnsiTheme="majorHAnsi" w:cs="Calibri"/>
          <w:sz w:val="24"/>
          <w:szCs w:val="24"/>
        </w:rPr>
        <w:t>instruct their postsecondary institution</w:t>
      </w:r>
      <w:r w:rsidRPr="00E716ED">
        <w:rPr>
          <w:rFonts w:asciiTheme="majorHAnsi" w:hAnsiTheme="majorHAnsi" w:cs="Calibri"/>
          <w:sz w:val="24"/>
          <w:szCs w:val="24"/>
        </w:rPr>
        <w:t>s</w:t>
      </w:r>
      <w:r w:rsidR="005203B8" w:rsidRPr="00E716ED">
        <w:rPr>
          <w:rFonts w:asciiTheme="majorHAnsi" w:hAnsiTheme="majorHAnsi" w:cs="Calibri"/>
          <w:sz w:val="24"/>
          <w:szCs w:val="24"/>
        </w:rPr>
        <w:t xml:space="preserve"> to withhold </w:t>
      </w:r>
      <w:r w:rsidR="008C1A4C" w:rsidRPr="00E716ED">
        <w:rPr>
          <w:rFonts w:asciiTheme="majorHAnsi" w:hAnsiTheme="majorHAnsi" w:cs="Calibri"/>
          <w:sz w:val="24"/>
          <w:szCs w:val="24"/>
        </w:rPr>
        <w:t>information</w:t>
      </w:r>
      <w:r w:rsidR="005203B8" w:rsidRPr="00E716ED">
        <w:rPr>
          <w:rFonts w:asciiTheme="majorHAnsi" w:hAnsiTheme="majorHAnsi" w:cs="Calibri"/>
          <w:sz w:val="24"/>
          <w:szCs w:val="24"/>
        </w:rPr>
        <w:t xml:space="preserve"> from any agency</w:t>
      </w:r>
      <w:r w:rsidR="00270302" w:rsidRPr="00E716ED">
        <w:rPr>
          <w:rFonts w:asciiTheme="majorHAnsi" w:hAnsiTheme="majorHAnsi" w:cs="Calibri"/>
          <w:sz w:val="24"/>
          <w:szCs w:val="24"/>
        </w:rPr>
        <w:t xml:space="preserve"> or nonprofit organization</w:t>
      </w:r>
      <w:r w:rsidR="005203B8" w:rsidRPr="00E716ED">
        <w:rPr>
          <w:rFonts w:asciiTheme="majorHAnsi" w:hAnsiTheme="majorHAnsi" w:cs="Calibri"/>
          <w:sz w:val="24"/>
          <w:szCs w:val="24"/>
        </w:rPr>
        <w:t xml:space="preserve"> requesti</w:t>
      </w:r>
      <w:r w:rsidR="008C1A4C" w:rsidRPr="00E716ED">
        <w:rPr>
          <w:rFonts w:asciiTheme="majorHAnsi" w:hAnsiTheme="majorHAnsi" w:cs="Calibri"/>
          <w:sz w:val="24"/>
          <w:szCs w:val="24"/>
        </w:rPr>
        <w:t xml:space="preserve">ng student directory </w:t>
      </w:r>
      <w:r w:rsidR="00450F1C" w:rsidRPr="00E716ED">
        <w:rPr>
          <w:rFonts w:asciiTheme="majorHAnsi" w:hAnsiTheme="majorHAnsi" w:cs="Calibri"/>
          <w:sz w:val="24"/>
          <w:szCs w:val="24"/>
        </w:rPr>
        <w:t>information, which is the information released from the Clearinghouse</w:t>
      </w:r>
      <w:r w:rsidR="005203B8" w:rsidRPr="00E716ED">
        <w:rPr>
          <w:rFonts w:asciiTheme="majorHAnsi" w:hAnsiTheme="majorHAnsi" w:cs="Calibri"/>
          <w:sz w:val="24"/>
          <w:szCs w:val="24"/>
        </w:rPr>
        <w:t>.  As a result</w:t>
      </w:r>
      <w:r w:rsidR="00716637" w:rsidRPr="00E716ED">
        <w:rPr>
          <w:rFonts w:asciiTheme="majorHAnsi" w:hAnsiTheme="majorHAnsi" w:cs="Calibri"/>
          <w:sz w:val="24"/>
          <w:szCs w:val="24"/>
        </w:rPr>
        <w:t xml:space="preserve">, a small </w:t>
      </w:r>
      <w:r w:rsidR="00450F1C" w:rsidRPr="00E716ED">
        <w:rPr>
          <w:rFonts w:asciiTheme="majorHAnsi" w:hAnsiTheme="majorHAnsi" w:cs="Calibri"/>
          <w:sz w:val="24"/>
          <w:szCs w:val="24"/>
        </w:rPr>
        <w:t xml:space="preserve">number </w:t>
      </w:r>
      <w:r w:rsidR="00716637" w:rsidRPr="00E716ED">
        <w:rPr>
          <w:rFonts w:asciiTheme="majorHAnsi" w:hAnsiTheme="majorHAnsi" w:cs="Calibri"/>
          <w:sz w:val="24"/>
          <w:szCs w:val="24"/>
        </w:rPr>
        <w:t xml:space="preserve">of </w:t>
      </w:r>
      <w:r w:rsidR="00270302" w:rsidRPr="00E716ED">
        <w:rPr>
          <w:rFonts w:asciiTheme="majorHAnsi" w:hAnsiTheme="majorHAnsi" w:cs="Calibri"/>
          <w:sz w:val="24"/>
          <w:szCs w:val="24"/>
        </w:rPr>
        <w:t xml:space="preserve">Virginia graduates who attended </w:t>
      </w:r>
      <w:r w:rsidR="0040475A" w:rsidRPr="00E716ED">
        <w:rPr>
          <w:rFonts w:asciiTheme="majorHAnsi" w:hAnsiTheme="majorHAnsi" w:cs="Calibri"/>
          <w:sz w:val="24"/>
          <w:szCs w:val="24"/>
        </w:rPr>
        <w:t xml:space="preserve">an </w:t>
      </w:r>
      <w:r w:rsidR="00D3328F" w:rsidRPr="00E716ED">
        <w:rPr>
          <w:rFonts w:asciiTheme="majorHAnsi" w:hAnsiTheme="majorHAnsi" w:cs="Calibri"/>
          <w:sz w:val="24"/>
          <w:szCs w:val="24"/>
        </w:rPr>
        <w:t>IHE</w:t>
      </w:r>
      <w:r w:rsidR="00450F1C" w:rsidRPr="00E716ED">
        <w:rPr>
          <w:rFonts w:asciiTheme="majorHAnsi" w:hAnsiTheme="majorHAnsi" w:cs="Calibri"/>
          <w:sz w:val="24"/>
          <w:szCs w:val="24"/>
        </w:rPr>
        <w:t xml:space="preserve"> but </w:t>
      </w:r>
      <w:r w:rsidR="00AD7736" w:rsidRPr="00E716ED">
        <w:rPr>
          <w:rFonts w:asciiTheme="majorHAnsi" w:hAnsiTheme="majorHAnsi" w:cs="Calibri"/>
          <w:sz w:val="24"/>
          <w:szCs w:val="24"/>
        </w:rPr>
        <w:t xml:space="preserve">requested that information not be shared would not be identified as enrolled in </w:t>
      </w:r>
      <w:r w:rsidR="00813A3D" w:rsidRPr="00E716ED">
        <w:rPr>
          <w:rFonts w:asciiTheme="majorHAnsi" w:hAnsiTheme="majorHAnsi" w:cs="Calibri"/>
          <w:sz w:val="24"/>
          <w:szCs w:val="24"/>
        </w:rPr>
        <w:t xml:space="preserve">an </w:t>
      </w:r>
      <w:r w:rsidR="00AD7736" w:rsidRPr="00E716ED">
        <w:rPr>
          <w:rFonts w:asciiTheme="majorHAnsi" w:hAnsiTheme="majorHAnsi" w:cs="Calibri"/>
          <w:sz w:val="24"/>
          <w:szCs w:val="24"/>
        </w:rPr>
        <w:t>IHE.</w:t>
      </w:r>
    </w:p>
    <w:p w:rsidR="008C1A4C" w:rsidRPr="00A3459D" w:rsidRDefault="008C1A4C" w:rsidP="0040475A">
      <w:pPr>
        <w:tabs>
          <w:tab w:val="left" w:pos="9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270302" w:rsidRDefault="001961A7" w:rsidP="00270302">
      <w:pPr>
        <w:pStyle w:val="ListParagraph"/>
        <w:numPr>
          <w:ilvl w:val="0"/>
          <w:numId w:val="1"/>
        </w:numPr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How often will</w:t>
      </w:r>
      <w:r w:rsidR="00D3328F" w:rsidRPr="00A3459D">
        <w:rPr>
          <w:rFonts w:asciiTheme="majorHAnsi" w:hAnsiTheme="majorHAnsi" w:cs="Calibri"/>
          <w:sz w:val="24"/>
          <w:szCs w:val="24"/>
        </w:rPr>
        <w:t xml:space="preserve"> </w:t>
      </w:r>
      <w:r w:rsidRPr="00A3459D">
        <w:rPr>
          <w:rFonts w:asciiTheme="majorHAnsi" w:hAnsiTheme="majorHAnsi" w:cs="Calibri"/>
          <w:sz w:val="24"/>
          <w:szCs w:val="24"/>
        </w:rPr>
        <w:t xml:space="preserve">the </w:t>
      </w:r>
      <w:r w:rsidR="00813A3D" w:rsidRPr="00A3459D">
        <w:rPr>
          <w:rFonts w:asciiTheme="majorHAnsi" w:hAnsiTheme="majorHAnsi" w:cs="Calibri"/>
          <w:sz w:val="24"/>
          <w:szCs w:val="24"/>
        </w:rPr>
        <w:t>postsecondary enrollment</w:t>
      </w:r>
      <w:r w:rsidR="00D3328F" w:rsidRPr="00A3459D">
        <w:rPr>
          <w:rFonts w:asciiTheme="majorHAnsi" w:hAnsiTheme="majorHAnsi" w:cs="Calibri"/>
          <w:sz w:val="24"/>
          <w:szCs w:val="24"/>
        </w:rPr>
        <w:t xml:space="preserve"> r</w:t>
      </w:r>
      <w:r w:rsidR="00226B6C" w:rsidRPr="00A3459D">
        <w:rPr>
          <w:rFonts w:asciiTheme="majorHAnsi" w:hAnsiTheme="majorHAnsi" w:cs="Calibri"/>
          <w:sz w:val="24"/>
          <w:szCs w:val="24"/>
        </w:rPr>
        <w:t>eport</w:t>
      </w:r>
      <w:r w:rsidR="00D3328F" w:rsidRPr="00A3459D">
        <w:rPr>
          <w:rFonts w:asciiTheme="majorHAnsi" w:hAnsiTheme="majorHAnsi" w:cs="Calibri"/>
          <w:sz w:val="24"/>
          <w:szCs w:val="24"/>
        </w:rPr>
        <w:t>s</w:t>
      </w:r>
      <w:r w:rsidR="00226B6C" w:rsidRPr="00A3459D">
        <w:rPr>
          <w:rFonts w:asciiTheme="majorHAnsi" w:hAnsiTheme="majorHAnsi" w:cs="Calibri"/>
          <w:sz w:val="24"/>
          <w:szCs w:val="24"/>
        </w:rPr>
        <w:t xml:space="preserve"> </w:t>
      </w:r>
      <w:r w:rsidRPr="00A3459D">
        <w:rPr>
          <w:rFonts w:asciiTheme="majorHAnsi" w:hAnsiTheme="majorHAnsi" w:cs="Calibri"/>
          <w:sz w:val="24"/>
          <w:szCs w:val="24"/>
        </w:rPr>
        <w:t xml:space="preserve">be </w:t>
      </w:r>
      <w:r w:rsidR="00226B6C" w:rsidRPr="00A3459D">
        <w:rPr>
          <w:rFonts w:asciiTheme="majorHAnsi" w:hAnsiTheme="majorHAnsi" w:cs="Calibri"/>
          <w:sz w:val="24"/>
          <w:szCs w:val="24"/>
        </w:rPr>
        <w:t>updated?</w:t>
      </w:r>
    </w:p>
    <w:p w:rsidR="00FD0C48" w:rsidRPr="00520E85" w:rsidRDefault="00FD0C48" w:rsidP="00FD0C48">
      <w:pPr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226B6C" w:rsidRPr="00A3459D" w:rsidRDefault="00C76A04" w:rsidP="00226B6C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The </w:t>
      </w:r>
      <w:r w:rsidR="00813A3D" w:rsidRPr="00A3459D">
        <w:rPr>
          <w:rFonts w:asciiTheme="majorHAnsi" w:hAnsiTheme="majorHAnsi" w:cs="Calibri"/>
          <w:sz w:val="24"/>
          <w:szCs w:val="24"/>
        </w:rPr>
        <w:t>postsecondary enrollment</w:t>
      </w:r>
      <w:r w:rsidR="00226B6C" w:rsidRPr="00A3459D">
        <w:rPr>
          <w:rFonts w:asciiTheme="majorHAnsi" w:hAnsiTheme="majorHAnsi" w:cs="Calibri"/>
          <w:sz w:val="24"/>
          <w:szCs w:val="24"/>
        </w:rPr>
        <w:t xml:space="preserve"> report</w:t>
      </w:r>
      <w:r w:rsidR="00716637" w:rsidRPr="00A3459D">
        <w:rPr>
          <w:rFonts w:asciiTheme="majorHAnsi" w:hAnsiTheme="majorHAnsi" w:cs="Calibri"/>
          <w:sz w:val="24"/>
          <w:szCs w:val="24"/>
        </w:rPr>
        <w:t>s</w:t>
      </w:r>
      <w:r w:rsidR="001961A7" w:rsidRPr="00A3459D">
        <w:rPr>
          <w:rFonts w:asciiTheme="majorHAnsi" w:hAnsiTheme="majorHAnsi" w:cs="Calibri"/>
          <w:sz w:val="24"/>
          <w:szCs w:val="24"/>
        </w:rPr>
        <w:t xml:space="preserve"> will be</w:t>
      </w:r>
      <w:r w:rsidR="00226B6C" w:rsidRPr="00A3459D">
        <w:rPr>
          <w:rFonts w:asciiTheme="majorHAnsi" w:hAnsiTheme="majorHAnsi" w:cs="Calibri"/>
          <w:sz w:val="24"/>
          <w:szCs w:val="24"/>
        </w:rPr>
        <w:t xml:space="preserve"> updated annually as </w:t>
      </w:r>
      <w:r w:rsidR="00813A3D" w:rsidRPr="00A3459D">
        <w:rPr>
          <w:rFonts w:asciiTheme="majorHAnsi" w:hAnsiTheme="majorHAnsi" w:cs="Calibri"/>
          <w:sz w:val="24"/>
          <w:szCs w:val="24"/>
        </w:rPr>
        <w:t xml:space="preserve">more </w:t>
      </w:r>
      <w:r w:rsidR="00226B6C" w:rsidRPr="00A3459D">
        <w:rPr>
          <w:rFonts w:asciiTheme="majorHAnsi" w:hAnsiTheme="majorHAnsi" w:cs="Calibri"/>
          <w:sz w:val="24"/>
          <w:szCs w:val="24"/>
        </w:rPr>
        <w:t>data become available, typically once in the fall and once in the spring.</w:t>
      </w:r>
    </w:p>
    <w:p w:rsidR="00D3328F" w:rsidRPr="00A3459D" w:rsidRDefault="00D3328F" w:rsidP="00D3328F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1F497D" w:themeColor="text2"/>
          <w:sz w:val="24"/>
          <w:szCs w:val="24"/>
        </w:rPr>
      </w:pPr>
    </w:p>
    <w:p w:rsidR="008C1A4C" w:rsidRDefault="008C1A4C" w:rsidP="008C1A4C">
      <w:pPr>
        <w:pStyle w:val="ListParagraph"/>
        <w:numPr>
          <w:ilvl w:val="0"/>
          <w:numId w:val="1"/>
        </w:numPr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Where can I find mo</w:t>
      </w:r>
      <w:r w:rsidR="00DD6D7D">
        <w:rPr>
          <w:rFonts w:asciiTheme="majorHAnsi" w:hAnsiTheme="majorHAnsi" w:cs="Calibri"/>
          <w:sz w:val="24"/>
          <w:szCs w:val="24"/>
        </w:rPr>
        <w:t>re information about the I</w:t>
      </w:r>
      <w:r w:rsidR="00716637" w:rsidRPr="00A3459D">
        <w:rPr>
          <w:rFonts w:asciiTheme="majorHAnsi" w:hAnsiTheme="majorHAnsi" w:cs="Calibri"/>
          <w:sz w:val="24"/>
          <w:szCs w:val="24"/>
        </w:rPr>
        <w:t>HE</w:t>
      </w:r>
      <w:r w:rsidRPr="00A3459D">
        <w:rPr>
          <w:rFonts w:asciiTheme="majorHAnsi" w:hAnsiTheme="majorHAnsi" w:cs="Calibri"/>
          <w:sz w:val="24"/>
          <w:szCs w:val="24"/>
        </w:rPr>
        <w:t xml:space="preserve"> that participate in the National Student Clearinghouse?</w:t>
      </w:r>
    </w:p>
    <w:p w:rsidR="00FD0C48" w:rsidRPr="00520E85" w:rsidRDefault="00FD0C48" w:rsidP="00FD0C48">
      <w:pPr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8C1A4C" w:rsidRPr="00A3459D" w:rsidRDefault="001961A7" w:rsidP="008C1A4C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For a complete list of the</w:t>
      </w:r>
      <w:r w:rsidR="00716637" w:rsidRPr="00A3459D">
        <w:rPr>
          <w:rFonts w:asciiTheme="majorHAnsi" w:hAnsiTheme="majorHAnsi" w:cs="Calibri"/>
          <w:sz w:val="24"/>
          <w:szCs w:val="24"/>
        </w:rPr>
        <w:t xml:space="preserve"> IHE that participate</w:t>
      </w:r>
      <w:r w:rsidR="008C1A4C" w:rsidRPr="00A3459D">
        <w:rPr>
          <w:rFonts w:asciiTheme="majorHAnsi" w:hAnsiTheme="majorHAnsi" w:cs="Calibri"/>
          <w:sz w:val="24"/>
          <w:szCs w:val="24"/>
        </w:rPr>
        <w:t xml:space="preserve"> in the Nationa</w:t>
      </w:r>
      <w:r w:rsidR="00DD6D7D">
        <w:rPr>
          <w:rFonts w:asciiTheme="majorHAnsi" w:hAnsiTheme="majorHAnsi" w:cs="Calibri"/>
          <w:sz w:val="24"/>
          <w:szCs w:val="24"/>
        </w:rPr>
        <w:t>l Student Clearinghouse visit</w:t>
      </w:r>
      <w:r w:rsidR="008C1A4C" w:rsidRPr="00A3459D">
        <w:rPr>
          <w:rFonts w:asciiTheme="majorHAnsi" w:hAnsiTheme="majorHAnsi" w:cs="Calibri"/>
          <w:sz w:val="24"/>
          <w:szCs w:val="24"/>
        </w:rPr>
        <w:t xml:space="preserve">: </w:t>
      </w:r>
      <w:hyperlink r:id="rId9" w:history="1">
        <w:r w:rsidR="008C1A4C" w:rsidRPr="00A3459D">
          <w:rPr>
            <w:rStyle w:val="Hyperlink"/>
            <w:rFonts w:asciiTheme="majorHAnsi" w:hAnsiTheme="majorHAnsi" w:cs="Calibri"/>
            <w:sz w:val="24"/>
            <w:szCs w:val="24"/>
          </w:rPr>
          <w:t>http://www.studentclearinghouse.org/colleges/coreserv/docs/CoreParticipants.xls</w:t>
        </w:r>
      </w:hyperlink>
      <w:r w:rsidR="008C1A4C" w:rsidRPr="00A3459D">
        <w:rPr>
          <w:rFonts w:asciiTheme="majorHAnsi" w:hAnsiTheme="majorHAnsi" w:cs="Calibri"/>
          <w:sz w:val="24"/>
          <w:szCs w:val="24"/>
        </w:rPr>
        <w:t>. </w:t>
      </w:r>
    </w:p>
    <w:p w:rsidR="00716637" w:rsidRPr="00A3459D" w:rsidRDefault="00716637" w:rsidP="00716637">
      <w:pPr>
        <w:pStyle w:val="ListParagraph"/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Calibri"/>
          <w:sz w:val="24"/>
          <w:szCs w:val="24"/>
        </w:rPr>
      </w:pPr>
    </w:p>
    <w:p w:rsidR="00716637" w:rsidRDefault="00716637" w:rsidP="00716637">
      <w:pPr>
        <w:pStyle w:val="ListParagraph"/>
        <w:numPr>
          <w:ilvl w:val="0"/>
          <w:numId w:val="1"/>
        </w:numPr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 Where can I find more information about the State Fiscal Stabilization Fund</w:t>
      </w:r>
      <w:r w:rsidR="00813A3D" w:rsidRPr="00A3459D">
        <w:rPr>
          <w:rFonts w:asciiTheme="majorHAnsi" w:hAnsiTheme="majorHAnsi" w:cs="Calibri"/>
          <w:sz w:val="24"/>
          <w:szCs w:val="24"/>
        </w:rPr>
        <w:t xml:space="preserve"> (SFSF)</w:t>
      </w:r>
      <w:r w:rsidRPr="00A3459D">
        <w:rPr>
          <w:rFonts w:asciiTheme="majorHAnsi" w:hAnsiTheme="majorHAnsi" w:cs="Calibri"/>
          <w:sz w:val="24"/>
          <w:szCs w:val="24"/>
        </w:rPr>
        <w:t xml:space="preserve"> </w:t>
      </w:r>
      <w:r w:rsidR="009903C9">
        <w:rPr>
          <w:rFonts w:asciiTheme="majorHAnsi" w:hAnsiTheme="majorHAnsi" w:cs="Calibri"/>
          <w:sz w:val="24"/>
          <w:szCs w:val="24"/>
        </w:rPr>
        <w:t xml:space="preserve">     </w:t>
      </w:r>
      <w:r w:rsidRPr="00A3459D">
        <w:rPr>
          <w:rFonts w:asciiTheme="majorHAnsi" w:hAnsiTheme="majorHAnsi" w:cs="Calibri"/>
          <w:sz w:val="24"/>
          <w:szCs w:val="24"/>
        </w:rPr>
        <w:t>program?</w:t>
      </w:r>
    </w:p>
    <w:p w:rsidR="00FD0C48" w:rsidRPr="00520E85" w:rsidRDefault="00FD0C48" w:rsidP="00FD0C48">
      <w:pPr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716637" w:rsidRPr="00A3459D" w:rsidRDefault="00716637" w:rsidP="00716637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>For more information about the State Fiscal Stabilization Fund program please go to:</w:t>
      </w:r>
    </w:p>
    <w:p w:rsidR="00C619AE" w:rsidRPr="00A3459D" w:rsidRDefault="00716637" w:rsidP="00450F1C">
      <w:pPr>
        <w:tabs>
          <w:tab w:val="left" w:pos="9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3459D">
        <w:rPr>
          <w:rFonts w:asciiTheme="majorHAnsi" w:hAnsiTheme="majorHAnsi" w:cs="Calibri"/>
          <w:sz w:val="24"/>
          <w:szCs w:val="24"/>
        </w:rPr>
        <w:t xml:space="preserve">                     </w:t>
      </w:r>
      <w:hyperlink r:id="rId10" w:history="1">
        <w:r w:rsidRPr="00A3459D">
          <w:rPr>
            <w:rStyle w:val="Hyperlink"/>
            <w:rFonts w:asciiTheme="majorHAnsi" w:hAnsiTheme="majorHAnsi" w:cs="Calibri"/>
            <w:sz w:val="24"/>
            <w:szCs w:val="24"/>
          </w:rPr>
          <w:t>http://www.doe.virginia.gov/school_finance/arra/stabilization/index.shtml</w:t>
        </w:r>
      </w:hyperlink>
      <w:r w:rsidR="00450F1C" w:rsidRPr="00A3459D">
        <w:rPr>
          <w:rFonts w:asciiTheme="majorHAnsi" w:hAnsiTheme="majorHAnsi"/>
          <w:sz w:val="24"/>
          <w:szCs w:val="24"/>
        </w:rPr>
        <w:t xml:space="preserve">.  </w:t>
      </w:r>
    </w:p>
    <w:p w:rsidR="00C619AE" w:rsidRDefault="00C619AE" w:rsidP="00FC3B4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:rsidR="005A4A23" w:rsidRDefault="005A4A23" w:rsidP="00FC3B4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:rsidR="00810EBE" w:rsidRDefault="00810EBE" w:rsidP="005A4A23">
      <w:pPr>
        <w:spacing w:after="0"/>
        <w:jc w:val="center"/>
        <w:rPr>
          <w:b/>
        </w:rPr>
      </w:pPr>
    </w:p>
    <w:p w:rsidR="00095A7F" w:rsidRDefault="00095A7F" w:rsidP="005A4A23">
      <w:pPr>
        <w:spacing w:after="0"/>
        <w:jc w:val="center"/>
        <w:rPr>
          <w:b/>
        </w:rPr>
      </w:pPr>
    </w:p>
    <w:p w:rsidR="00095A7F" w:rsidRDefault="00095A7F" w:rsidP="005A4A23">
      <w:pPr>
        <w:spacing w:after="0"/>
        <w:jc w:val="center"/>
        <w:rPr>
          <w:b/>
        </w:rPr>
      </w:pPr>
    </w:p>
    <w:p w:rsidR="00A25500" w:rsidRDefault="00A25500" w:rsidP="005A4A23">
      <w:pPr>
        <w:spacing w:after="0"/>
        <w:jc w:val="center"/>
        <w:rPr>
          <w:b/>
        </w:rPr>
      </w:pPr>
    </w:p>
    <w:p w:rsidR="005A4A23" w:rsidRPr="00EA470D" w:rsidRDefault="005A4A23" w:rsidP="005A4A23">
      <w:pPr>
        <w:spacing w:after="0"/>
        <w:jc w:val="center"/>
        <w:rPr>
          <w:b/>
        </w:rPr>
      </w:pPr>
      <w:r w:rsidRPr="00EA470D">
        <w:rPr>
          <w:b/>
        </w:rPr>
        <w:lastRenderedPageBreak/>
        <w:t>Institutions of Higher Education (IHE)</w:t>
      </w:r>
      <w:r w:rsidR="00810EBE">
        <w:rPr>
          <w:b/>
        </w:rPr>
        <w:t xml:space="preserve"> In Virginia</w:t>
      </w:r>
      <w:r w:rsidRPr="00EA470D">
        <w:rPr>
          <w:b/>
        </w:rPr>
        <w:t xml:space="preserve"> That Do Not Submit </w:t>
      </w:r>
      <w:r>
        <w:rPr>
          <w:b/>
        </w:rPr>
        <w:t xml:space="preserve">Student </w:t>
      </w:r>
      <w:r w:rsidRPr="00EA470D">
        <w:rPr>
          <w:b/>
        </w:rPr>
        <w:t xml:space="preserve">Enrollment Data to the </w:t>
      </w:r>
    </w:p>
    <w:p w:rsidR="005A4A23" w:rsidRDefault="005A4A23" w:rsidP="005A4A23">
      <w:pPr>
        <w:spacing w:after="0"/>
        <w:jc w:val="center"/>
        <w:rPr>
          <w:b/>
        </w:rPr>
      </w:pPr>
      <w:r w:rsidRPr="00EA470D">
        <w:rPr>
          <w:b/>
        </w:rPr>
        <w:t>National Student Clearinghouse</w:t>
      </w:r>
      <w:r w:rsidR="007A4F30">
        <w:rPr>
          <w:b/>
        </w:rPr>
        <w:t xml:space="preserve"> (NSC)</w:t>
      </w:r>
    </w:p>
    <w:p w:rsidR="005A4A23" w:rsidRPr="00810EBE" w:rsidRDefault="005A4A23" w:rsidP="005A4A23">
      <w:pPr>
        <w:spacing w:after="0"/>
        <w:jc w:val="center"/>
        <w:rPr>
          <w:b/>
          <w:sz w:val="6"/>
          <w:szCs w:val="6"/>
        </w:rPr>
      </w:pPr>
    </w:p>
    <w:tbl>
      <w:tblPr>
        <w:tblStyle w:val="TableGrid"/>
        <w:tblW w:w="9900" w:type="dxa"/>
        <w:tblInd w:w="-72" w:type="dxa"/>
        <w:tblLayout w:type="fixed"/>
        <w:tblLook w:val="04A0"/>
      </w:tblPr>
      <w:tblGrid>
        <w:gridCol w:w="1620"/>
        <w:gridCol w:w="2070"/>
        <w:gridCol w:w="2070"/>
        <w:gridCol w:w="2160"/>
        <w:gridCol w:w="1980"/>
      </w:tblGrid>
      <w:tr w:rsidR="005A4A23" w:rsidTr="00F65EBA">
        <w:tc>
          <w:tcPr>
            <w:tcW w:w="1620" w:type="dxa"/>
            <w:vMerge w:val="restart"/>
          </w:tcPr>
          <w:p w:rsidR="00810EBE" w:rsidRDefault="00810EBE" w:rsidP="005A4A23">
            <w:pPr>
              <w:jc w:val="center"/>
              <w:rPr>
                <w:b/>
              </w:rPr>
            </w:pPr>
          </w:p>
          <w:p w:rsidR="005A4A23" w:rsidRPr="00EA470D" w:rsidRDefault="005A4A23" w:rsidP="005A4A23">
            <w:pPr>
              <w:jc w:val="center"/>
              <w:rPr>
                <w:b/>
              </w:rPr>
            </w:pPr>
            <w:r w:rsidRPr="00EA470D">
              <w:rPr>
                <w:b/>
              </w:rPr>
              <w:t>Institution Type</w:t>
            </w:r>
          </w:p>
        </w:tc>
        <w:tc>
          <w:tcPr>
            <w:tcW w:w="8280" w:type="dxa"/>
            <w:gridSpan w:val="4"/>
          </w:tcPr>
          <w:p w:rsidR="00810EBE" w:rsidRDefault="005A4A23" w:rsidP="005A4A23">
            <w:pPr>
              <w:jc w:val="center"/>
              <w:rPr>
                <w:b/>
              </w:rPr>
            </w:pPr>
            <w:r w:rsidRPr="00EA470D">
              <w:rPr>
                <w:b/>
              </w:rPr>
              <w:t xml:space="preserve"> </w:t>
            </w:r>
          </w:p>
          <w:p w:rsidR="005A4A23" w:rsidRDefault="005A4A23" w:rsidP="005A4A23">
            <w:pPr>
              <w:jc w:val="center"/>
              <w:rPr>
                <w:b/>
              </w:rPr>
            </w:pPr>
            <w:r w:rsidRPr="00EA470D">
              <w:rPr>
                <w:b/>
              </w:rPr>
              <w:t>Federal Graduation Indicator (FGI) Year</w:t>
            </w:r>
          </w:p>
          <w:p w:rsidR="00810EBE" w:rsidRPr="00EA470D" w:rsidRDefault="00810EBE" w:rsidP="005A4A23">
            <w:pPr>
              <w:jc w:val="center"/>
              <w:rPr>
                <w:b/>
              </w:rPr>
            </w:pPr>
          </w:p>
        </w:tc>
      </w:tr>
      <w:tr w:rsidR="005A4A23" w:rsidTr="00B02058">
        <w:tc>
          <w:tcPr>
            <w:tcW w:w="1620" w:type="dxa"/>
            <w:vMerge/>
          </w:tcPr>
          <w:p w:rsidR="005A4A23" w:rsidRPr="00EA470D" w:rsidRDefault="005A4A23" w:rsidP="005A4A23"/>
        </w:tc>
        <w:tc>
          <w:tcPr>
            <w:tcW w:w="2070" w:type="dxa"/>
          </w:tcPr>
          <w:p w:rsidR="005A4A23" w:rsidRPr="00EA470D" w:rsidRDefault="005A4A23" w:rsidP="005A4A23">
            <w:pPr>
              <w:jc w:val="center"/>
              <w:rPr>
                <w:b/>
              </w:rPr>
            </w:pPr>
            <w:r w:rsidRPr="00EA470D">
              <w:rPr>
                <w:b/>
              </w:rPr>
              <w:t>2007-2008</w:t>
            </w:r>
          </w:p>
        </w:tc>
        <w:tc>
          <w:tcPr>
            <w:tcW w:w="2070" w:type="dxa"/>
          </w:tcPr>
          <w:p w:rsidR="005A4A23" w:rsidRPr="00EA470D" w:rsidRDefault="005A4A23" w:rsidP="005A4A23">
            <w:pPr>
              <w:jc w:val="center"/>
              <w:rPr>
                <w:b/>
              </w:rPr>
            </w:pPr>
            <w:r w:rsidRPr="00EA470D">
              <w:rPr>
                <w:b/>
              </w:rPr>
              <w:t>2008-2009</w:t>
            </w:r>
          </w:p>
        </w:tc>
        <w:tc>
          <w:tcPr>
            <w:tcW w:w="2160" w:type="dxa"/>
          </w:tcPr>
          <w:p w:rsidR="005A4A23" w:rsidRPr="00EA470D" w:rsidRDefault="005A4A23" w:rsidP="005A4A23">
            <w:pPr>
              <w:jc w:val="center"/>
              <w:rPr>
                <w:b/>
              </w:rPr>
            </w:pPr>
            <w:r w:rsidRPr="00EA470D">
              <w:rPr>
                <w:b/>
              </w:rPr>
              <w:t>2009-2010</w:t>
            </w:r>
          </w:p>
        </w:tc>
        <w:tc>
          <w:tcPr>
            <w:tcW w:w="1980" w:type="dxa"/>
          </w:tcPr>
          <w:p w:rsidR="005A4A23" w:rsidRPr="00EA470D" w:rsidRDefault="005A4A23" w:rsidP="005A4A23">
            <w:pPr>
              <w:jc w:val="center"/>
              <w:rPr>
                <w:b/>
              </w:rPr>
            </w:pPr>
            <w:r w:rsidRPr="00EA470D">
              <w:rPr>
                <w:b/>
              </w:rPr>
              <w:t>2010-2011</w:t>
            </w:r>
          </w:p>
        </w:tc>
      </w:tr>
      <w:tr w:rsidR="005A4A23" w:rsidTr="00F65EBA">
        <w:tc>
          <w:tcPr>
            <w:tcW w:w="1620" w:type="dxa"/>
          </w:tcPr>
          <w:p w:rsidR="007A4F30" w:rsidRDefault="007A4F30" w:rsidP="005A4A23"/>
          <w:p w:rsidR="005A4A23" w:rsidRDefault="005A4A23" w:rsidP="00095A7F">
            <w:pPr>
              <w:ind w:left="72"/>
            </w:pPr>
            <w:r w:rsidRPr="00EA470D">
              <w:t>Four-Year Public IHE</w:t>
            </w:r>
          </w:p>
          <w:p w:rsidR="00810EBE" w:rsidRPr="00EA470D" w:rsidRDefault="00810EBE" w:rsidP="005A4A23"/>
        </w:tc>
        <w:tc>
          <w:tcPr>
            <w:tcW w:w="8280" w:type="dxa"/>
            <w:gridSpan w:val="4"/>
          </w:tcPr>
          <w:p w:rsidR="005A4A23" w:rsidRDefault="005A4A23" w:rsidP="005A4A23">
            <w:pPr>
              <w:rPr>
                <w:b/>
              </w:rPr>
            </w:pPr>
          </w:p>
          <w:p w:rsidR="007A4F30" w:rsidRPr="00EA470D" w:rsidRDefault="007A4F30" w:rsidP="00095A7F">
            <w:r>
              <w:t>All Virginia four-year p</w:t>
            </w:r>
            <w:r w:rsidR="005A4A23" w:rsidRPr="00EA470D">
              <w:t xml:space="preserve">ublic IHE submit student enrollment data to the </w:t>
            </w:r>
            <w:r>
              <w:t>NSC</w:t>
            </w:r>
            <w:r w:rsidR="00095A7F">
              <w:t>.</w:t>
            </w:r>
          </w:p>
        </w:tc>
      </w:tr>
      <w:tr w:rsidR="00B77FE2" w:rsidTr="00F65EBA">
        <w:tc>
          <w:tcPr>
            <w:tcW w:w="1620" w:type="dxa"/>
          </w:tcPr>
          <w:p w:rsidR="005A4A23" w:rsidRDefault="005A4A23" w:rsidP="005A4A23"/>
          <w:p w:rsidR="005A4A23" w:rsidRDefault="005A4A23" w:rsidP="005A4A23"/>
          <w:p w:rsidR="005A4A23" w:rsidRDefault="005A4A23" w:rsidP="005A4A23"/>
          <w:p w:rsidR="007A4F30" w:rsidRDefault="007A4F30" w:rsidP="005A4A23"/>
          <w:p w:rsidR="007A4F30" w:rsidRDefault="007A4F30" w:rsidP="005A4A23"/>
          <w:p w:rsidR="007A4F30" w:rsidRDefault="007A4F30" w:rsidP="005A4A23"/>
          <w:p w:rsidR="005A4A23" w:rsidRPr="00EA470D" w:rsidRDefault="005A4A23" w:rsidP="00095A7F">
            <w:pPr>
              <w:ind w:left="72"/>
            </w:pPr>
            <w:r w:rsidRPr="00EA470D">
              <w:t xml:space="preserve">Four-Year </w:t>
            </w:r>
            <w:r>
              <w:t>Private</w:t>
            </w:r>
            <w:r w:rsidRPr="00EA470D">
              <w:t xml:space="preserve"> IHE</w:t>
            </w:r>
          </w:p>
        </w:tc>
        <w:tc>
          <w:tcPr>
            <w:tcW w:w="2070" w:type="dxa"/>
          </w:tcPr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EA470D">
              <w:rPr>
                <w:rFonts w:cs="Times New Roman"/>
              </w:rPr>
              <w:t xml:space="preserve">Appalachian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School of Law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EA470D">
              <w:rPr>
                <w:rFonts w:cs="Times New Roman"/>
              </w:rPr>
              <w:t xml:space="preserve">Christendom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College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EA470D">
              <w:rPr>
                <w:rFonts w:cs="Times New Roman"/>
              </w:rPr>
              <w:t xml:space="preserve">Institute for the </w:t>
            </w: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Psychological</w:t>
            </w:r>
            <w:r>
              <w:rPr>
                <w:rFonts w:cs="Times New Roman"/>
              </w:rPr>
              <w:t xml:space="preserve">    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Sciences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EA470D">
              <w:rPr>
                <w:rFonts w:cs="Times New Roman"/>
              </w:rPr>
              <w:t xml:space="preserve">Mary Baldwin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College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r w:rsidRPr="00EA470D">
              <w:rPr>
                <w:rFonts w:cs="Times New Roman"/>
              </w:rPr>
              <w:t xml:space="preserve">Saint Paul’s </w:t>
            </w:r>
            <w:r>
              <w:rPr>
                <w:rFonts w:cs="Times New Roman"/>
              </w:rPr>
              <w:t xml:space="preserve">    </w:t>
            </w: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College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</w:p>
        </w:tc>
        <w:tc>
          <w:tcPr>
            <w:tcW w:w="2070" w:type="dxa"/>
          </w:tcPr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EA470D">
              <w:rPr>
                <w:rFonts w:cs="Times New Roman"/>
              </w:rPr>
              <w:t xml:space="preserve">Appalachian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School of Law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EA470D">
              <w:rPr>
                <w:rFonts w:cs="Times New Roman"/>
              </w:rPr>
              <w:t xml:space="preserve">Christendom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College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EA470D">
              <w:rPr>
                <w:rFonts w:cs="Times New Roman"/>
              </w:rPr>
              <w:t xml:space="preserve">Institute for the </w:t>
            </w: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Psychological</w:t>
            </w:r>
            <w:r>
              <w:rPr>
                <w:rFonts w:cs="Times New Roman"/>
              </w:rPr>
              <w:t xml:space="preserve">    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Sciences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EA470D">
              <w:rPr>
                <w:rFonts w:cs="Times New Roman"/>
              </w:rPr>
              <w:t xml:space="preserve">Mary Baldwin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College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r w:rsidRPr="00EA470D">
              <w:rPr>
                <w:rFonts w:cs="Times New Roman"/>
              </w:rPr>
              <w:t xml:space="preserve">Saint Paul’s </w:t>
            </w:r>
            <w:r>
              <w:rPr>
                <w:rFonts w:cs="Times New Roman"/>
              </w:rPr>
              <w:t xml:space="preserve">    </w:t>
            </w:r>
          </w:p>
          <w:p w:rsidR="005A4A23" w:rsidRDefault="007A4F30" w:rsidP="005A4A23">
            <w:pPr>
              <w:pStyle w:val="ListParagraph"/>
              <w:ind w:left="71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5A4A23" w:rsidRPr="00EA470D">
              <w:rPr>
                <w:rFonts w:cs="Times New Roman"/>
              </w:rPr>
              <w:t>College</w:t>
            </w:r>
          </w:p>
          <w:p w:rsidR="005A4A23" w:rsidRPr="00EA470D" w:rsidRDefault="005A4A23" w:rsidP="005A4A23">
            <w:pPr>
              <w:pStyle w:val="ListParagraph"/>
              <w:ind w:left="71"/>
            </w:pPr>
          </w:p>
        </w:tc>
        <w:tc>
          <w:tcPr>
            <w:tcW w:w="2160" w:type="dxa"/>
          </w:tcPr>
          <w:p w:rsidR="007A4F30" w:rsidRDefault="007A4F30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EA470D">
              <w:rPr>
                <w:rFonts w:cs="Times New Roman"/>
              </w:rPr>
              <w:t xml:space="preserve">Appalachian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School of Law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EA470D">
              <w:rPr>
                <w:rFonts w:cs="Times New Roman"/>
              </w:rPr>
              <w:t xml:space="preserve">Christendom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College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EA470D">
              <w:rPr>
                <w:rFonts w:cs="Times New Roman"/>
              </w:rPr>
              <w:t xml:space="preserve">Institute for the </w:t>
            </w: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Psychological</w:t>
            </w:r>
            <w:r>
              <w:rPr>
                <w:rFonts w:cs="Times New Roman"/>
              </w:rPr>
              <w:t xml:space="preserve">    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Sciences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EA470D">
              <w:rPr>
                <w:rFonts w:cs="Times New Roman"/>
              </w:rPr>
              <w:t xml:space="preserve">Mary Baldwin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College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r w:rsidRPr="00EA470D">
              <w:rPr>
                <w:rFonts w:cs="Times New Roman"/>
              </w:rPr>
              <w:t xml:space="preserve">Saint Paul’s </w:t>
            </w:r>
            <w:r>
              <w:rPr>
                <w:rFonts w:cs="Times New Roman"/>
              </w:rPr>
              <w:t xml:space="preserve">    </w:t>
            </w:r>
          </w:p>
          <w:p w:rsidR="005A4A23" w:rsidRDefault="005A4A23" w:rsidP="005A4A23">
            <w:pPr>
              <w:rPr>
                <w:b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College</w:t>
            </w:r>
          </w:p>
        </w:tc>
        <w:tc>
          <w:tcPr>
            <w:tcW w:w="1980" w:type="dxa"/>
          </w:tcPr>
          <w:p w:rsidR="007A4F30" w:rsidRDefault="007A4F30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EA470D">
              <w:rPr>
                <w:rFonts w:cs="Times New Roman"/>
              </w:rPr>
              <w:t xml:space="preserve">Appalachian </w:t>
            </w: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AB11B2">
              <w:rPr>
                <w:rFonts w:cs="Times New Roman"/>
              </w:rPr>
              <w:t>School of Law</w:t>
            </w:r>
            <w:r>
              <w:rPr>
                <w:rFonts w:cs="Times New Roman"/>
              </w:rPr>
              <w:t xml:space="preserve"> </w:t>
            </w:r>
          </w:p>
          <w:p w:rsidR="005A4A23" w:rsidRDefault="005A4A23" w:rsidP="00AB11B2">
            <w:pPr>
              <w:jc w:val="center"/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EA470D">
              <w:rPr>
                <w:rFonts w:cs="Times New Roman"/>
              </w:rPr>
              <w:t xml:space="preserve">Christendom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College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EA470D">
              <w:rPr>
                <w:rFonts w:cs="Times New Roman"/>
              </w:rPr>
              <w:t xml:space="preserve">Institute for the </w:t>
            </w: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Psychological</w:t>
            </w:r>
            <w:r>
              <w:rPr>
                <w:rFonts w:cs="Times New Roman"/>
              </w:rPr>
              <w:t xml:space="preserve">    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Sciences</w:t>
            </w:r>
          </w:p>
          <w:p w:rsidR="005A4A23" w:rsidRDefault="005A4A23" w:rsidP="005A4A23">
            <w:pPr>
              <w:rPr>
                <w:rFonts w:cs="Times New Roman"/>
              </w:rPr>
            </w:pPr>
          </w:p>
          <w:p w:rsidR="005A4A23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EA470D">
              <w:rPr>
                <w:rFonts w:cs="Times New Roman"/>
              </w:rPr>
              <w:t xml:space="preserve">Mary Baldwin </w:t>
            </w:r>
          </w:p>
          <w:p w:rsidR="005A4A23" w:rsidRPr="00EA470D" w:rsidRDefault="005A4A23" w:rsidP="005A4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EA470D">
              <w:rPr>
                <w:rFonts w:cs="Times New Roman"/>
              </w:rPr>
              <w:t>College</w:t>
            </w:r>
          </w:p>
        </w:tc>
      </w:tr>
      <w:tr w:rsidR="005A4A23" w:rsidTr="00F65EBA">
        <w:tc>
          <w:tcPr>
            <w:tcW w:w="1620" w:type="dxa"/>
          </w:tcPr>
          <w:p w:rsidR="005A4A23" w:rsidRDefault="005A4A23" w:rsidP="005A4A23"/>
          <w:p w:rsidR="007A4F30" w:rsidRDefault="007A4F30" w:rsidP="005A4A23"/>
          <w:p w:rsidR="007A4F30" w:rsidRDefault="007A4F30" w:rsidP="005A4A23"/>
          <w:p w:rsidR="005A4A23" w:rsidRPr="00EA470D" w:rsidRDefault="005A4A23" w:rsidP="00B77FE2">
            <w:pPr>
              <w:ind w:left="72"/>
            </w:pPr>
            <w:r w:rsidRPr="00EA470D">
              <w:t>Two-Year Public IHE</w:t>
            </w:r>
          </w:p>
        </w:tc>
        <w:tc>
          <w:tcPr>
            <w:tcW w:w="2070" w:type="dxa"/>
          </w:tcPr>
          <w:p w:rsidR="005A4A23" w:rsidRDefault="005A4A23" w:rsidP="005A4A23"/>
          <w:p w:rsidR="005A4A23" w:rsidRDefault="005A4A23" w:rsidP="005A4A23">
            <w:r>
              <w:t xml:space="preserve">1.  Eastern Shore </w:t>
            </w:r>
          </w:p>
          <w:p w:rsidR="005A4A23" w:rsidRDefault="005A4A23" w:rsidP="005A4A23">
            <w:r>
              <w:t xml:space="preserve">     Community </w:t>
            </w:r>
          </w:p>
          <w:p w:rsidR="005A4A23" w:rsidRDefault="005A4A23" w:rsidP="005A4A23">
            <w:r>
              <w:t xml:space="preserve">     College</w:t>
            </w:r>
          </w:p>
          <w:p w:rsidR="005A4A23" w:rsidRDefault="005A4A23" w:rsidP="005A4A23"/>
          <w:p w:rsidR="005A4A23" w:rsidRDefault="005A4A23" w:rsidP="005A4A23">
            <w:r>
              <w:t xml:space="preserve">2.  Richard Bland </w:t>
            </w:r>
          </w:p>
          <w:p w:rsidR="005A4A23" w:rsidRDefault="005A4A23" w:rsidP="005A4A23">
            <w:r>
              <w:t xml:space="preserve">     College</w:t>
            </w:r>
          </w:p>
          <w:p w:rsidR="005A4A23" w:rsidRPr="00A064F3" w:rsidRDefault="005A4A23" w:rsidP="005A4A23"/>
        </w:tc>
        <w:tc>
          <w:tcPr>
            <w:tcW w:w="2070" w:type="dxa"/>
          </w:tcPr>
          <w:p w:rsidR="005A4A23" w:rsidRDefault="005A4A23" w:rsidP="005A4A23"/>
          <w:p w:rsidR="005A4A23" w:rsidRDefault="005A4A23" w:rsidP="005A4A23">
            <w:r>
              <w:t xml:space="preserve">1. </w:t>
            </w:r>
            <w:r w:rsidR="007A4F30">
              <w:t xml:space="preserve"> </w:t>
            </w:r>
            <w:r>
              <w:t xml:space="preserve">Richard Bland </w:t>
            </w:r>
          </w:p>
          <w:p w:rsidR="005A4A23" w:rsidRPr="00A064F3" w:rsidRDefault="005A4A23" w:rsidP="005A4A23">
            <w:r>
              <w:t xml:space="preserve">     College</w:t>
            </w:r>
          </w:p>
        </w:tc>
        <w:tc>
          <w:tcPr>
            <w:tcW w:w="4140" w:type="dxa"/>
            <w:gridSpan w:val="2"/>
          </w:tcPr>
          <w:p w:rsidR="005A4A23" w:rsidRDefault="005A4A23" w:rsidP="005A4A23">
            <w:pPr>
              <w:jc w:val="center"/>
            </w:pPr>
          </w:p>
          <w:p w:rsidR="005A4A23" w:rsidRPr="00A064F3" w:rsidRDefault="007A4F30" w:rsidP="00AB11B2">
            <w:r>
              <w:t>All Virginia two-year p</w:t>
            </w:r>
            <w:r w:rsidR="005A4A23">
              <w:t xml:space="preserve">ublic IHE submit student enrollment data to </w:t>
            </w:r>
            <w:r>
              <w:t>NSC</w:t>
            </w:r>
            <w:r w:rsidR="00AB11B2">
              <w:t>.</w:t>
            </w:r>
          </w:p>
        </w:tc>
      </w:tr>
      <w:tr w:rsidR="005A4A23" w:rsidTr="00A25500">
        <w:trPr>
          <w:trHeight w:val="1097"/>
        </w:trPr>
        <w:tc>
          <w:tcPr>
            <w:tcW w:w="1620" w:type="dxa"/>
          </w:tcPr>
          <w:p w:rsidR="007A4F30" w:rsidRDefault="007A4F30" w:rsidP="005A4A23"/>
          <w:p w:rsidR="005A4A23" w:rsidRPr="00EA470D" w:rsidRDefault="005A4A23" w:rsidP="00095A7F">
            <w:pPr>
              <w:ind w:left="72"/>
            </w:pPr>
            <w:r w:rsidRPr="00EA470D">
              <w:t>Private For Profit IHE</w:t>
            </w:r>
          </w:p>
        </w:tc>
        <w:tc>
          <w:tcPr>
            <w:tcW w:w="8280" w:type="dxa"/>
            <w:gridSpan w:val="4"/>
          </w:tcPr>
          <w:p w:rsidR="005A4A23" w:rsidRDefault="005A4A23" w:rsidP="005A4A23">
            <w:pPr>
              <w:jc w:val="center"/>
              <w:rPr>
                <w:rFonts w:cs="Times New Roman"/>
              </w:rPr>
            </w:pPr>
          </w:p>
          <w:p w:rsidR="005A4A23" w:rsidRDefault="005A4A23" w:rsidP="00095A7F">
            <w:pPr>
              <w:rPr>
                <w:rFonts w:cs="Times New Roman"/>
              </w:rPr>
            </w:pPr>
            <w:r w:rsidRPr="00A064F3">
              <w:rPr>
                <w:rFonts w:cs="Times New Roman"/>
              </w:rPr>
              <w:t xml:space="preserve">Limited </w:t>
            </w:r>
            <w:r w:rsidR="007A4F30">
              <w:rPr>
                <w:rFonts w:cs="Times New Roman"/>
              </w:rPr>
              <w:t xml:space="preserve">NSC </w:t>
            </w:r>
            <w:r w:rsidRPr="00A064F3">
              <w:rPr>
                <w:rFonts w:cs="Times New Roman"/>
              </w:rPr>
              <w:t>data are available for students who enroll in pri</w:t>
            </w:r>
            <w:r w:rsidR="007A4F30">
              <w:rPr>
                <w:rFonts w:cs="Times New Roman"/>
              </w:rPr>
              <w:t xml:space="preserve">vate for-profit </w:t>
            </w:r>
            <w:r w:rsidRPr="00A064F3">
              <w:rPr>
                <w:rFonts w:cs="Times New Roman"/>
              </w:rPr>
              <w:t xml:space="preserve">and/or vocational </w:t>
            </w:r>
            <w:r w:rsidR="00810EBE">
              <w:rPr>
                <w:rFonts w:cs="Times New Roman"/>
              </w:rPr>
              <w:t xml:space="preserve">IHE </w:t>
            </w:r>
            <w:r w:rsidR="007A4F30">
              <w:rPr>
                <w:rFonts w:cs="Times New Roman"/>
              </w:rPr>
              <w:t>in Virginia</w:t>
            </w:r>
            <w:r w:rsidRPr="00A064F3">
              <w:rPr>
                <w:rFonts w:cs="Times New Roman"/>
              </w:rPr>
              <w:t>.</w:t>
            </w:r>
          </w:p>
          <w:p w:rsidR="005A4A23" w:rsidRPr="00A064F3" w:rsidRDefault="005A4A23" w:rsidP="005A4A23">
            <w:pPr>
              <w:jc w:val="center"/>
            </w:pPr>
          </w:p>
        </w:tc>
      </w:tr>
      <w:tr w:rsidR="005A4A23" w:rsidTr="00F65EBA">
        <w:tc>
          <w:tcPr>
            <w:tcW w:w="1620" w:type="dxa"/>
          </w:tcPr>
          <w:p w:rsidR="007A4F30" w:rsidRDefault="007A4F30" w:rsidP="007A4F30"/>
          <w:p w:rsidR="005A4A23" w:rsidRDefault="005A4A23" w:rsidP="00095A7F">
            <w:pPr>
              <w:ind w:left="72"/>
            </w:pPr>
            <w:r w:rsidRPr="00EA470D">
              <w:t>Religious Degree Conferring IHE</w:t>
            </w:r>
          </w:p>
          <w:p w:rsidR="007A4F30" w:rsidRPr="00EA470D" w:rsidRDefault="007A4F30" w:rsidP="007A4F30"/>
        </w:tc>
        <w:tc>
          <w:tcPr>
            <w:tcW w:w="8280" w:type="dxa"/>
            <w:gridSpan w:val="4"/>
          </w:tcPr>
          <w:p w:rsidR="005A4A23" w:rsidRDefault="005A4A23" w:rsidP="005A4A23">
            <w:pPr>
              <w:jc w:val="center"/>
              <w:rPr>
                <w:rFonts w:cs="Times New Roman"/>
              </w:rPr>
            </w:pPr>
          </w:p>
          <w:p w:rsidR="005A4A23" w:rsidRDefault="005A4A23" w:rsidP="00095A7F">
            <w:pPr>
              <w:rPr>
                <w:rFonts w:cs="Times New Roman"/>
              </w:rPr>
            </w:pPr>
            <w:r w:rsidRPr="00A064F3">
              <w:rPr>
                <w:rFonts w:cs="Times New Roman"/>
              </w:rPr>
              <w:t xml:space="preserve">Limited </w:t>
            </w:r>
            <w:r w:rsidR="007A4F30">
              <w:rPr>
                <w:rFonts w:cs="Times New Roman"/>
              </w:rPr>
              <w:t xml:space="preserve">NSC </w:t>
            </w:r>
            <w:r w:rsidRPr="00A064F3">
              <w:rPr>
                <w:rFonts w:cs="Times New Roman"/>
              </w:rPr>
              <w:t>data are availab</w:t>
            </w:r>
            <w:r w:rsidR="007A4F30">
              <w:rPr>
                <w:rFonts w:cs="Times New Roman"/>
              </w:rPr>
              <w:t xml:space="preserve">le for students who enroll in </w:t>
            </w:r>
            <w:r w:rsidRPr="00A064F3">
              <w:rPr>
                <w:rFonts w:cs="Times New Roman"/>
              </w:rPr>
              <w:t xml:space="preserve">private </w:t>
            </w:r>
            <w:r w:rsidR="00810EBE">
              <w:rPr>
                <w:rFonts w:cs="Times New Roman"/>
              </w:rPr>
              <w:t xml:space="preserve">IHE </w:t>
            </w:r>
            <w:r w:rsidR="007A4F30">
              <w:rPr>
                <w:rFonts w:cs="Times New Roman"/>
              </w:rPr>
              <w:t>in Virginia</w:t>
            </w:r>
            <w:r w:rsidRPr="00A064F3">
              <w:rPr>
                <w:rFonts w:cs="Times New Roman"/>
              </w:rPr>
              <w:t xml:space="preserve"> whose primary purpose is to confer religious degrees.</w:t>
            </w:r>
          </w:p>
          <w:p w:rsidR="005A4A23" w:rsidRPr="00A064F3" w:rsidRDefault="005A4A23" w:rsidP="005A4A23">
            <w:pPr>
              <w:jc w:val="center"/>
              <w:rPr>
                <w:b/>
              </w:rPr>
            </w:pPr>
          </w:p>
        </w:tc>
      </w:tr>
    </w:tbl>
    <w:p w:rsidR="00810EBE" w:rsidRPr="00810EBE" w:rsidRDefault="00810EBE" w:rsidP="00095A7F">
      <w:pPr>
        <w:tabs>
          <w:tab w:val="left" w:pos="3030"/>
        </w:tabs>
        <w:spacing w:after="0"/>
        <w:rPr>
          <w:b/>
        </w:rPr>
      </w:pPr>
    </w:p>
    <w:sectPr w:rsidR="00810EBE" w:rsidRPr="00810EBE" w:rsidSect="00A25500">
      <w:footerReference w:type="default" r:id="rId11"/>
      <w:pgSz w:w="12240" w:h="15840"/>
      <w:pgMar w:top="10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68" w:rsidRDefault="00760368" w:rsidP="00081903">
      <w:pPr>
        <w:spacing w:after="0" w:line="240" w:lineRule="auto"/>
      </w:pPr>
      <w:r>
        <w:separator/>
      </w:r>
    </w:p>
  </w:endnote>
  <w:endnote w:type="continuationSeparator" w:id="0">
    <w:p w:rsidR="00760368" w:rsidRDefault="00760368" w:rsidP="0008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0" w:rsidRDefault="00A25500" w:rsidP="00971A60">
    <w:pPr>
      <w:spacing w:after="0" w:line="240" w:lineRule="auto"/>
      <w:rPr>
        <w:rFonts w:asciiTheme="majorHAnsi" w:hAnsiTheme="majorHAnsi"/>
        <w:color w:val="365F91" w:themeColor="accent1" w:themeShade="BF"/>
      </w:rPr>
    </w:pPr>
  </w:p>
  <w:p w:rsidR="00A25500" w:rsidRDefault="00A25500" w:rsidP="00971A60">
    <w:pPr>
      <w:spacing w:after="0" w:line="240" w:lineRule="auto"/>
      <w:rPr>
        <w:rFonts w:asciiTheme="majorHAnsi" w:hAnsiTheme="majorHAnsi"/>
        <w:color w:val="365F91" w:themeColor="accent1" w:themeShade="BF"/>
      </w:rPr>
    </w:pPr>
    <w:r>
      <w:rPr>
        <w:rFonts w:asciiTheme="majorHAnsi" w:hAnsiTheme="majorHAnsi"/>
        <w:color w:val="365F91" w:themeColor="accent1" w:themeShade="BF"/>
      </w:rPr>
      <w:t>January 2012</w:t>
    </w:r>
  </w:p>
  <w:p w:rsidR="00A25500" w:rsidRPr="00737E8C" w:rsidRDefault="00A25500" w:rsidP="00971A60">
    <w:pPr>
      <w:spacing w:after="0" w:line="240" w:lineRule="auto"/>
      <w:rPr>
        <w:rFonts w:asciiTheme="majorHAnsi" w:hAnsiTheme="majorHAnsi"/>
        <w:color w:val="365F91" w:themeColor="accent1" w:themeShade="BF"/>
      </w:rPr>
    </w:pPr>
    <w:r w:rsidRPr="00737E8C">
      <w:rPr>
        <w:rFonts w:asciiTheme="majorHAnsi" w:hAnsiTheme="majorHAnsi"/>
        <w:color w:val="365F91" w:themeColor="accent1" w:themeShade="BF"/>
      </w:rPr>
      <w:t>Virginia Department of Education</w:t>
    </w:r>
    <w:r w:rsidRPr="00737E8C">
      <w:rPr>
        <w:rFonts w:asciiTheme="majorHAnsi" w:hAnsiTheme="majorHAnsi"/>
        <w:color w:val="365F91" w:themeColor="accent1" w:themeShade="BF"/>
      </w:rPr>
      <w:tab/>
    </w:r>
    <w:r w:rsidRPr="00737E8C">
      <w:rPr>
        <w:rFonts w:asciiTheme="majorHAnsi" w:hAnsiTheme="majorHAnsi"/>
        <w:color w:val="365F91" w:themeColor="accent1" w:themeShade="BF"/>
      </w:rPr>
      <w:tab/>
    </w:r>
    <w:r w:rsidRPr="00737E8C">
      <w:rPr>
        <w:rFonts w:asciiTheme="majorHAnsi" w:hAnsiTheme="majorHAnsi"/>
        <w:color w:val="365F91" w:themeColor="accent1" w:themeShade="BF"/>
      </w:rPr>
      <w:tab/>
    </w:r>
    <w:r w:rsidRPr="00737E8C">
      <w:rPr>
        <w:rFonts w:asciiTheme="majorHAnsi" w:hAnsiTheme="majorHAnsi"/>
        <w:color w:val="365F91" w:themeColor="accent1" w:themeShade="BF"/>
      </w:rPr>
      <w:tab/>
    </w:r>
    <w:r w:rsidRPr="00737E8C">
      <w:rPr>
        <w:rFonts w:asciiTheme="majorHAnsi" w:hAnsiTheme="majorHAnsi"/>
        <w:color w:val="365F91" w:themeColor="accent1" w:themeShade="BF"/>
      </w:rPr>
      <w:tab/>
    </w:r>
    <w:r w:rsidRPr="00737E8C">
      <w:rPr>
        <w:rFonts w:asciiTheme="majorHAnsi" w:hAnsiTheme="majorHAnsi"/>
        <w:color w:val="365F91" w:themeColor="accent1" w:themeShade="BF"/>
      </w:rPr>
      <w:tab/>
    </w:r>
    <w:r w:rsidRPr="00737E8C">
      <w:rPr>
        <w:rFonts w:asciiTheme="majorHAnsi" w:hAnsiTheme="majorHAnsi"/>
        <w:color w:val="365F91" w:themeColor="accent1" w:themeShade="BF"/>
      </w:rPr>
      <w:tab/>
      <w:t xml:space="preserve">        </w:t>
    </w:r>
    <w:sdt>
      <w:sdtPr>
        <w:rPr>
          <w:rFonts w:asciiTheme="majorHAnsi" w:hAnsiTheme="majorHAnsi"/>
        </w:rPr>
        <w:id w:val="250395305"/>
        <w:docPartObj>
          <w:docPartGallery w:val="Page Numbers (Top of Page)"/>
          <w:docPartUnique/>
        </w:docPartObj>
      </w:sdtPr>
      <w:sdtContent>
        <w:r w:rsidRPr="00737E8C">
          <w:rPr>
            <w:rFonts w:asciiTheme="majorHAnsi" w:hAnsiTheme="majorHAnsi"/>
            <w:color w:val="365F91" w:themeColor="accent1" w:themeShade="BF"/>
          </w:rPr>
          <w:t xml:space="preserve">Page </w:t>
        </w:r>
        <w:r w:rsidR="00264E73" w:rsidRPr="00737E8C">
          <w:rPr>
            <w:rFonts w:asciiTheme="majorHAnsi" w:hAnsiTheme="majorHAnsi"/>
            <w:color w:val="365F91" w:themeColor="accent1" w:themeShade="BF"/>
          </w:rPr>
          <w:fldChar w:fldCharType="begin"/>
        </w:r>
        <w:r w:rsidRPr="00737E8C">
          <w:rPr>
            <w:rFonts w:asciiTheme="majorHAnsi" w:hAnsiTheme="majorHAnsi"/>
            <w:color w:val="365F91" w:themeColor="accent1" w:themeShade="BF"/>
          </w:rPr>
          <w:instrText xml:space="preserve"> PAGE </w:instrText>
        </w:r>
        <w:r w:rsidR="00264E73" w:rsidRPr="00737E8C">
          <w:rPr>
            <w:rFonts w:asciiTheme="majorHAnsi" w:hAnsiTheme="majorHAnsi"/>
            <w:color w:val="365F91" w:themeColor="accent1" w:themeShade="BF"/>
          </w:rPr>
          <w:fldChar w:fldCharType="separate"/>
        </w:r>
        <w:r w:rsidR="00392CBE">
          <w:rPr>
            <w:rFonts w:asciiTheme="majorHAnsi" w:hAnsiTheme="majorHAnsi"/>
            <w:noProof/>
            <w:color w:val="365F91" w:themeColor="accent1" w:themeShade="BF"/>
          </w:rPr>
          <w:t>2</w:t>
        </w:r>
        <w:r w:rsidR="00264E73" w:rsidRPr="00737E8C">
          <w:rPr>
            <w:rFonts w:asciiTheme="majorHAnsi" w:hAnsiTheme="majorHAnsi"/>
            <w:color w:val="365F91" w:themeColor="accent1" w:themeShade="BF"/>
          </w:rPr>
          <w:fldChar w:fldCharType="end"/>
        </w:r>
        <w:r w:rsidRPr="00737E8C">
          <w:rPr>
            <w:rFonts w:asciiTheme="majorHAnsi" w:hAnsiTheme="majorHAnsi"/>
            <w:color w:val="365F91" w:themeColor="accent1" w:themeShade="BF"/>
          </w:rPr>
          <w:t xml:space="preserve"> of </w:t>
        </w:r>
        <w:r w:rsidR="00264E73" w:rsidRPr="00737E8C">
          <w:rPr>
            <w:rFonts w:asciiTheme="majorHAnsi" w:hAnsiTheme="majorHAnsi"/>
            <w:color w:val="365F91" w:themeColor="accent1" w:themeShade="BF"/>
          </w:rPr>
          <w:fldChar w:fldCharType="begin"/>
        </w:r>
        <w:r w:rsidRPr="00737E8C">
          <w:rPr>
            <w:rFonts w:asciiTheme="majorHAnsi" w:hAnsiTheme="majorHAnsi"/>
            <w:color w:val="365F91" w:themeColor="accent1" w:themeShade="BF"/>
          </w:rPr>
          <w:instrText xml:space="preserve"> NUMPAGES  </w:instrText>
        </w:r>
        <w:r w:rsidR="00264E73" w:rsidRPr="00737E8C">
          <w:rPr>
            <w:rFonts w:asciiTheme="majorHAnsi" w:hAnsiTheme="majorHAnsi"/>
            <w:color w:val="365F91" w:themeColor="accent1" w:themeShade="BF"/>
          </w:rPr>
          <w:fldChar w:fldCharType="separate"/>
        </w:r>
        <w:r w:rsidR="00392CBE">
          <w:rPr>
            <w:rFonts w:asciiTheme="majorHAnsi" w:hAnsiTheme="majorHAnsi"/>
            <w:noProof/>
            <w:color w:val="365F91" w:themeColor="accent1" w:themeShade="BF"/>
          </w:rPr>
          <w:t>4</w:t>
        </w:r>
        <w:r w:rsidR="00264E73" w:rsidRPr="00737E8C">
          <w:rPr>
            <w:rFonts w:asciiTheme="majorHAnsi" w:hAnsiTheme="majorHAnsi"/>
            <w:color w:val="365F91" w:themeColor="accent1" w:themeShade="BF"/>
          </w:rPr>
          <w:fldChar w:fldCharType="end"/>
        </w:r>
      </w:sdtContent>
    </w:sdt>
  </w:p>
  <w:p w:rsidR="00A25500" w:rsidRPr="00737E8C" w:rsidRDefault="00A25500" w:rsidP="00520E85">
    <w:pPr>
      <w:rPr>
        <w:rFonts w:asciiTheme="majorHAnsi" w:hAnsiTheme="majorHAnsi"/>
      </w:rPr>
    </w:pPr>
    <w:r>
      <w:rPr>
        <w:rFonts w:asciiTheme="majorHAnsi" w:hAnsiTheme="majorHAnsi"/>
        <w:color w:val="365F91" w:themeColor="accent1" w:themeShade="BF"/>
      </w:rPr>
      <w:t xml:space="preserve">                                                                                  </w:t>
    </w:r>
    <w:r w:rsidRPr="00520E85">
      <w:rPr>
        <w:rFonts w:asciiTheme="majorHAnsi" w:hAnsiTheme="majorHAnsi"/>
        <w:noProof/>
        <w:color w:val="365F91" w:themeColor="accent1" w:themeShade="BF"/>
      </w:rPr>
      <w:drawing>
        <wp:inline distT="0" distB="0" distL="0" distR="0">
          <wp:extent cx="1680875" cy="575012"/>
          <wp:effectExtent l="19050" t="0" r="0" b="0"/>
          <wp:docPr id="7" name="Picture 0" descr="custom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531" cy="57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68" w:rsidRDefault="00760368" w:rsidP="00081903">
      <w:pPr>
        <w:spacing w:after="0" w:line="240" w:lineRule="auto"/>
      </w:pPr>
      <w:r>
        <w:separator/>
      </w:r>
    </w:p>
  </w:footnote>
  <w:footnote w:type="continuationSeparator" w:id="0">
    <w:p w:rsidR="00760368" w:rsidRDefault="00760368" w:rsidP="00081903">
      <w:pPr>
        <w:spacing w:after="0" w:line="240" w:lineRule="auto"/>
      </w:pPr>
      <w:r>
        <w:continuationSeparator/>
      </w:r>
    </w:p>
  </w:footnote>
  <w:footnote w:id="1">
    <w:p w:rsidR="00A25500" w:rsidRPr="00DD6D7D" w:rsidRDefault="00A25500" w:rsidP="00DD6D7D">
      <w:pPr>
        <w:pStyle w:val="FootnoteText"/>
        <w:rPr>
          <w:rFonts w:asciiTheme="majorHAnsi" w:hAnsiTheme="majorHAnsi"/>
          <w:sz w:val="22"/>
          <w:szCs w:val="22"/>
        </w:rPr>
      </w:pPr>
      <w:r w:rsidRPr="00520E85">
        <w:rPr>
          <w:rStyle w:val="FootnoteReference"/>
          <w:rFonts w:asciiTheme="majorHAnsi" w:hAnsiTheme="majorHAnsi"/>
        </w:rPr>
        <w:footnoteRef/>
      </w:r>
      <w:r w:rsidRPr="00520E85">
        <w:rPr>
          <w:rFonts w:asciiTheme="majorHAnsi" w:hAnsiTheme="majorHAnsi"/>
        </w:rPr>
        <w:t xml:space="preserve"> </w:t>
      </w:r>
      <w:r w:rsidRPr="00520E85">
        <w:rPr>
          <w:rFonts w:asciiTheme="majorHAnsi" w:hAnsiTheme="majorHAnsi"/>
          <w:color w:val="221F20"/>
        </w:rPr>
        <w:t xml:space="preserve">Holian, L., and Mokher, C. (2011).  </w:t>
      </w:r>
      <w:r w:rsidRPr="00520E85">
        <w:rPr>
          <w:rFonts w:asciiTheme="majorHAnsi" w:hAnsiTheme="majorHAnsi"/>
          <w:i/>
          <w:iCs/>
          <w:color w:val="221F20"/>
        </w:rPr>
        <w:t xml:space="preserve">Estimating college enrollment rates for Virginia public high school graduates. </w:t>
      </w:r>
      <w:r w:rsidRPr="00520E85">
        <w:rPr>
          <w:rFonts w:asciiTheme="majorHAnsi" w:hAnsiTheme="majorHAnsi"/>
          <w:color w:val="221F20"/>
        </w:rPr>
        <w:t>(Issues &amp; Answers Report, REL 2011–No. 104). Washington, DC: U.S. Department of Education, Institute of Education Sciences, National Center for Education Evaluation and Regional Assistance,</w:t>
      </w:r>
      <w:r w:rsidRPr="00DD6D7D">
        <w:rPr>
          <w:rFonts w:asciiTheme="majorHAnsi" w:hAnsiTheme="majorHAnsi"/>
          <w:color w:val="221F20"/>
          <w:sz w:val="22"/>
          <w:szCs w:val="22"/>
        </w:rPr>
        <w:t xml:space="preserve"> Regional </w:t>
      </w:r>
      <w:r w:rsidRPr="00520E85">
        <w:rPr>
          <w:rFonts w:asciiTheme="majorHAnsi" w:hAnsiTheme="majorHAnsi"/>
          <w:color w:val="221F20"/>
        </w:rPr>
        <w:t>Educational Lab</w:t>
      </w:r>
      <w:r>
        <w:rPr>
          <w:rFonts w:asciiTheme="majorHAnsi" w:hAnsiTheme="majorHAnsi"/>
          <w:color w:val="221F20"/>
        </w:rPr>
        <w:t xml:space="preserve">oratory Appalachia.   Retrieved </w:t>
      </w:r>
      <w:r w:rsidRPr="00520E85">
        <w:rPr>
          <w:rFonts w:asciiTheme="majorHAnsi" w:hAnsiTheme="majorHAnsi"/>
          <w:color w:val="221F20"/>
        </w:rPr>
        <w:t xml:space="preserve">from </w:t>
      </w:r>
      <w:hyperlink r:id="rId1" w:history="1">
        <w:r w:rsidRPr="00520E85">
          <w:rPr>
            <w:rStyle w:val="Hyperlink"/>
            <w:rFonts w:asciiTheme="majorHAnsi" w:hAnsiTheme="majorHAnsi"/>
          </w:rPr>
          <w:t>http://ies.ed.gov/ncee/edlabs/regions/appalachia/pdf/REL_2011104.pdf</w:t>
        </w:r>
      </w:hyperlink>
      <w:r w:rsidRPr="00520E85">
        <w:rPr>
          <w:rFonts w:asciiTheme="majorHAnsi" w:hAnsiTheme="majorHAnsi"/>
        </w:rP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647"/>
    <w:multiLevelType w:val="hybridMultilevel"/>
    <w:tmpl w:val="5AA4D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9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52"/>
    <w:rsid w:val="00005A2B"/>
    <w:rsid w:val="00014081"/>
    <w:rsid w:val="00014798"/>
    <w:rsid w:val="00032349"/>
    <w:rsid w:val="00043228"/>
    <w:rsid w:val="00081903"/>
    <w:rsid w:val="000909E5"/>
    <w:rsid w:val="00094BAB"/>
    <w:rsid w:val="00095A7F"/>
    <w:rsid w:val="00147E7E"/>
    <w:rsid w:val="00157E8C"/>
    <w:rsid w:val="001961A7"/>
    <w:rsid w:val="001C1DC2"/>
    <w:rsid w:val="001C46FE"/>
    <w:rsid w:val="001F41E7"/>
    <w:rsid w:val="00206A97"/>
    <w:rsid w:val="00226B6C"/>
    <w:rsid w:val="00234725"/>
    <w:rsid w:val="00264E73"/>
    <w:rsid w:val="00270302"/>
    <w:rsid w:val="002743A6"/>
    <w:rsid w:val="00280975"/>
    <w:rsid w:val="003225CF"/>
    <w:rsid w:val="0038275C"/>
    <w:rsid w:val="00383319"/>
    <w:rsid w:val="00392CBE"/>
    <w:rsid w:val="003972E3"/>
    <w:rsid w:val="003B03B3"/>
    <w:rsid w:val="003B2955"/>
    <w:rsid w:val="003C1D4C"/>
    <w:rsid w:val="003F4FB4"/>
    <w:rsid w:val="0040475A"/>
    <w:rsid w:val="00433FA5"/>
    <w:rsid w:val="00441572"/>
    <w:rsid w:val="00450F1C"/>
    <w:rsid w:val="0047398A"/>
    <w:rsid w:val="00474C07"/>
    <w:rsid w:val="004A24EA"/>
    <w:rsid w:val="004C7B42"/>
    <w:rsid w:val="004E331C"/>
    <w:rsid w:val="005203B8"/>
    <w:rsid w:val="00520E85"/>
    <w:rsid w:val="005A4A23"/>
    <w:rsid w:val="006F4EED"/>
    <w:rsid w:val="007068B4"/>
    <w:rsid w:val="00710119"/>
    <w:rsid w:val="00716637"/>
    <w:rsid w:val="00737E8C"/>
    <w:rsid w:val="007420AC"/>
    <w:rsid w:val="00747C4E"/>
    <w:rsid w:val="007534CB"/>
    <w:rsid w:val="00760368"/>
    <w:rsid w:val="007711B1"/>
    <w:rsid w:val="00790BCD"/>
    <w:rsid w:val="007A345C"/>
    <w:rsid w:val="007A4F30"/>
    <w:rsid w:val="00804EDB"/>
    <w:rsid w:val="00810EBE"/>
    <w:rsid w:val="00813A3D"/>
    <w:rsid w:val="00832B74"/>
    <w:rsid w:val="00841D0A"/>
    <w:rsid w:val="00862605"/>
    <w:rsid w:val="00864C8E"/>
    <w:rsid w:val="0086666A"/>
    <w:rsid w:val="008811CB"/>
    <w:rsid w:val="008963D5"/>
    <w:rsid w:val="008C1A4C"/>
    <w:rsid w:val="00971A60"/>
    <w:rsid w:val="009903C9"/>
    <w:rsid w:val="009C3571"/>
    <w:rsid w:val="009D773D"/>
    <w:rsid w:val="00A25500"/>
    <w:rsid w:val="00A3459D"/>
    <w:rsid w:val="00A81D29"/>
    <w:rsid w:val="00A8790A"/>
    <w:rsid w:val="00A919FF"/>
    <w:rsid w:val="00AB11B2"/>
    <w:rsid w:val="00AD3364"/>
    <w:rsid w:val="00AD584B"/>
    <w:rsid w:val="00AD7736"/>
    <w:rsid w:val="00B02058"/>
    <w:rsid w:val="00B24728"/>
    <w:rsid w:val="00B77FE2"/>
    <w:rsid w:val="00BD07C1"/>
    <w:rsid w:val="00BD3F48"/>
    <w:rsid w:val="00C24D3A"/>
    <w:rsid w:val="00C37E15"/>
    <w:rsid w:val="00C619AE"/>
    <w:rsid w:val="00C76A04"/>
    <w:rsid w:val="00C97671"/>
    <w:rsid w:val="00CE5B9B"/>
    <w:rsid w:val="00CF2443"/>
    <w:rsid w:val="00D3328F"/>
    <w:rsid w:val="00D46A22"/>
    <w:rsid w:val="00D507FD"/>
    <w:rsid w:val="00DA047B"/>
    <w:rsid w:val="00DD6B52"/>
    <w:rsid w:val="00DD6D7D"/>
    <w:rsid w:val="00DE2D4F"/>
    <w:rsid w:val="00E66DD9"/>
    <w:rsid w:val="00E716ED"/>
    <w:rsid w:val="00EF0498"/>
    <w:rsid w:val="00F508B4"/>
    <w:rsid w:val="00F65EBA"/>
    <w:rsid w:val="00FC3B4A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903"/>
  </w:style>
  <w:style w:type="paragraph" w:styleId="Footer">
    <w:name w:val="footer"/>
    <w:basedOn w:val="Normal"/>
    <w:link w:val="FooterChar"/>
    <w:uiPriority w:val="99"/>
    <w:unhideWhenUsed/>
    <w:rsid w:val="0008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03"/>
  </w:style>
  <w:style w:type="character" w:styleId="Hyperlink">
    <w:name w:val="Hyperlink"/>
    <w:basedOn w:val="DefaultParagraphFont"/>
    <w:uiPriority w:val="99"/>
    <w:unhideWhenUsed/>
    <w:rsid w:val="008C1A4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D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D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D7D"/>
    <w:rPr>
      <w:vertAlign w:val="superscript"/>
    </w:rPr>
  </w:style>
  <w:style w:type="table" w:styleId="TableGrid">
    <w:name w:val="Table Grid"/>
    <w:basedOn w:val="TableNormal"/>
    <w:uiPriority w:val="59"/>
    <w:rsid w:val="005A4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clearinghous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chool_finance/arra/stabilization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clearinghouse.org/colleges/coreserv/docs/CoreParticipants.x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es.ed.gov/ncee/edlabs/regions/appalachia/pdf/REL_20111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0235-EBCD-45A3-AE4C-4F832BC7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dae4760</dc:creator>
  <cp:keywords/>
  <dc:description/>
  <cp:lastModifiedBy>dae4760</cp:lastModifiedBy>
  <cp:revision>2</cp:revision>
  <cp:lastPrinted>2012-01-27T16:59:00Z</cp:lastPrinted>
  <dcterms:created xsi:type="dcterms:W3CDTF">2012-02-29T21:40:00Z</dcterms:created>
  <dcterms:modified xsi:type="dcterms:W3CDTF">2012-02-29T21:40:00Z</dcterms:modified>
</cp:coreProperties>
</file>